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rFonts w:hint="eastAsia"/>
          <w:sz w:val="30"/>
          <w:szCs w:val="30"/>
          <w:lang w:eastAsia="zh-CN"/>
        </w:rPr>
      </w:pPr>
      <w:r>
        <w:rPr>
          <w:rFonts w:hint="eastAsia"/>
          <w:sz w:val="30"/>
          <w:szCs w:val="30"/>
          <w:lang w:eastAsia="zh-CN"/>
        </w:rPr>
        <w:t>长春市市场监督管理局南关分局</w:t>
      </w:r>
    </w:p>
    <w:p>
      <w:pPr>
        <w:jc w:val="center"/>
        <w:rPr>
          <w:rFonts w:hint="eastAsia"/>
          <w:color w:val="231F20"/>
          <w:sz w:val="30"/>
          <w:szCs w:val="30"/>
          <w:u w:val="none" w:color="auto"/>
          <w:lang w:eastAsia="zh-CN"/>
        </w:rPr>
      </w:pPr>
      <w:r>
        <w:rPr>
          <w:rFonts w:hint="eastAsia"/>
          <w:color w:val="231F20"/>
          <w:sz w:val="30"/>
          <w:szCs w:val="30"/>
          <w:u w:val="none" w:color="auto"/>
          <w:lang w:eastAsia="zh-CN"/>
        </w:rPr>
        <w:t>关于</w:t>
      </w:r>
      <w:r>
        <w:rPr>
          <w:rFonts w:hint="eastAsia"/>
          <w:color w:val="231F20"/>
          <w:sz w:val="30"/>
          <w:szCs w:val="30"/>
          <w:u w:val="single" w:color="auto"/>
          <w:lang w:eastAsia="zh-CN"/>
        </w:rPr>
        <w:t>吉林省地利生鲜农产品企业管理有限公司平泉路店</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firstLine="420" w:firstLineChars="200"/>
        <w:rPr>
          <w:rFonts w:hint="eastAsia" w:ascii="宋体" w:hAnsi="宋体" w:eastAsia="宋体" w:cs="宋体"/>
          <w:color w:val="231F20"/>
          <w:sz w:val="24"/>
          <w:szCs w:val="24"/>
          <w:u w:val="single" w:color="auto"/>
          <w:lang w:eastAsia="zh-CN"/>
        </w:rPr>
      </w:pPr>
      <w:r>
        <w:rPr>
          <w:rFonts w:hint="eastAsia" w:ascii="宋体" w:hAnsi="宋体"/>
          <w:u w:val="single"/>
          <w:lang w:eastAsia="zh-CN"/>
        </w:rPr>
        <w:t>2020年</w:t>
      </w:r>
      <w:r>
        <w:rPr>
          <w:rFonts w:hint="eastAsia" w:ascii="宋体" w:hAnsi="宋体"/>
          <w:u w:val="single"/>
          <w:lang w:val="en-US" w:eastAsia="zh-CN"/>
        </w:rPr>
        <w:t>6</w:t>
      </w:r>
      <w:r>
        <w:rPr>
          <w:rFonts w:hint="eastAsia" w:ascii="宋体" w:hAnsi="宋体"/>
          <w:u w:val="single"/>
          <w:lang w:eastAsia="zh-CN"/>
        </w:rPr>
        <w:t>月</w:t>
      </w:r>
      <w:r>
        <w:rPr>
          <w:rFonts w:hint="eastAsia" w:ascii="宋体" w:hAnsi="宋体"/>
          <w:u w:val="single"/>
          <w:lang w:val="en-US" w:eastAsia="zh-CN"/>
        </w:rPr>
        <w:t>1</w:t>
      </w:r>
      <w:r>
        <w:rPr>
          <w:rFonts w:hint="eastAsia" w:ascii="宋体" w:hAnsi="宋体"/>
          <w:u w:val="single"/>
          <w:lang w:eastAsia="zh-CN"/>
        </w:rPr>
        <w:t>8日，我分局收到长春市市场监督管理局委托吉林省吉测检测技术有限公司对吉林省地利生鲜农产品企业管理有限公司平泉路店出售的</w:t>
      </w:r>
      <w:r>
        <w:rPr>
          <w:rFonts w:hint="eastAsia" w:ascii="宋体" w:hAnsi="宋体"/>
          <w:u w:val="single"/>
          <w:lang w:val="en-US" w:eastAsia="zh-CN"/>
        </w:rPr>
        <w:t>20200528批次</w:t>
      </w:r>
      <w:r>
        <w:rPr>
          <w:rFonts w:hint="eastAsia" w:ascii="宋体" w:hAnsi="宋体"/>
          <w:u w:val="single"/>
          <w:lang w:eastAsia="zh-CN"/>
        </w:rPr>
        <w:t>带鱼的检验报告书一份，报告编号为</w:t>
      </w:r>
      <w:r>
        <w:rPr>
          <w:rFonts w:hint="eastAsia" w:ascii="宋体" w:hAnsi="宋体"/>
          <w:u w:val="single"/>
          <w:lang w:val="en-US" w:eastAsia="zh-CN"/>
        </w:rPr>
        <w:t>CJSP-2001217</w:t>
      </w:r>
      <w:r>
        <w:rPr>
          <w:rFonts w:hint="eastAsia" w:ascii="宋体" w:hAnsi="宋体"/>
          <w:u w:val="single"/>
          <w:lang w:eastAsia="zh-CN"/>
        </w:rPr>
        <w:t xml:space="preserve">，报告结论为：经抽样检测，挥发性盐基氮项目不符合GB </w:t>
      </w:r>
      <w:r>
        <w:rPr>
          <w:rFonts w:hint="eastAsia" w:ascii="宋体" w:hAnsi="宋体"/>
          <w:u w:val="single"/>
          <w:lang w:val="en-US" w:eastAsia="zh-CN"/>
        </w:rPr>
        <w:t>2733</w:t>
      </w:r>
      <w:r>
        <w:rPr>
          <w:rFonts w:hint="eastAsia" w:ascii="宋体" w:hAnsi="宋体"/>
          <w:u w:val="single"/>
          <w:lang w:eastAsia="zh-CN"/>
        </w:rPr>
        <w:t>-201</w:t>
      </w:r>
      <w:r>
        <w:rPr>
          <w:rFonts w:hint="eastAsia" w:ascii="宋体" w:hAnsi="宋体"/>
          <w:u w:val="single"/>
          <w:lang w:val="en-US" w:eastAsia="zh-CN"/>
        </w:rPr>
        <w:t>5</w:t>
      </w:r>
      <w:r>
        <w:rPr>
          <w:rFonts w:hint="eastAsia" w:ascii="宋体" w:hAnsi="宋体"/>
          <w:u w:val="single"/>
          <w:lang w:eastAsia="zh-CN"/>
        </w:rPr>
        <w:t>《食品安全国家标准 鲜、冻动物性水产品》要求，检验结论为不合格</w:t>
      </w:r>
      <w:r>
        <w:rPr>
          <w:rFonts w:hint="eastAsia"/>
          <w:u w:val="single"/>
          <w:lang w:eastAsia="zh-CN"/>
        </w:rPr>
        <w:t>。</w:t>
      </w:r>
    </w:p>
    <w:p>
      <w:pPr>
        <w:numPr>
          <w:ilvl w:val="0"/>
          <w:numId w:val="0"/>
        </w:numPr>
        <w:ind w:leftChars="0"/>
        <w:rPr>
          <w:rFonts w:hint="eastAsia" w:ascii="宋体" w:hAnsi="宋体" w:cs="宋体"/>
          <w:color w:val="231F20"/>
          <w:sz w:val="24"/>
          <w:szCs w:val="24"/>
          <w:u w:val="none" w:color="auto"/>
          <w:lang w:eastAsia="zh-CN"/>
        </w:rPr>
      </w:pP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firstLine="420" w:firstLineChars="200"/>
        <w:rPr>
          <w:rFonts w:hint="eastAsia" w:ascii="宋体" w:hAnsi="宋体"/>
          <w:u w:val="single"/>
          <w:lang w:eastAsia="zh-CN"/>
        </w:rPr>
      </w:pPr>
      <w:r>
        <w:rPr>
          <w:rFonts w:hint="eastAsia" w:ascii="宋体" w:hAnsi="宋体"/>
          <w:u w:val="single"/>
          <w:lang w:eastAsia="zh-CN"/>
        </w:rPr>
        <w:t>经查，该单位20200</w:t>
      </w:r>
      <w:r>
        <w:rPr>
          <w:rFonts w:hint="eastAsia" w:ascii="宋体" w:hAnsi="宋体"/>
          <w:u w:val="single"/>
          <w:lang w:val="en-US" w:eastAsia="zh-CN"/>
        </w:rPr>
        <w:t>528</w:t>
      </w:r>
      <w:r>
        <w:rPr>
          <w:rFonts w:hint="eastAsia" w:ascii="宋体" w:hAnsi="宋体"/>
          <w:u w:val="single"/>
          <w:lang w:eastAsia="zh-CN"/>
        </w:rPr>
        <w:t>批次的鸡蛋由总部吉林省地利生鲜农产品企业管理有限公司配送。20200</w:t>
      </w:r>
      <w:r>
        <w:rPr>
          <w:rFonts w:hint="eastAsia" w:ascii="宋体" w:hAnsi="宋体"/>
          <w:u w:val="single"/>
          <w:lang w:val="en-US" w:eastAsia="zh-CN"/>
        </w:rPr>
        <w:t>528</w:t>
      </w:r>
      <w:r>
        <w:rPr>
          <w:rFonts w:hint="eastAsia" w:ascii="宋体" w:hAnsi="宋体"/>
          <w:u w:val="single"/>
          <w:lang w:eastAsia="zh-CN"/>
        </w:rPr>
        <w:t>批次的带鱼由总部吉林省地利生鲜农产品企业管理有限公司配送。共进货</w:t>
      </w:r>
      <w:r>
        <w:rPr>
          <w:rFonts w:hint="eastAsia" w:ascii="宋体" w:hAnsi="宋体"/>
          <w:u w:val="single"/>
          <w:lang w:val="en-US" w:eastAsia="zh-CN"/>
        </w:rPr>
        <w:t>50</w:t>
      </w:r>
      <w:r>
        <w:rPr>
          <w:rFonts w:hint="eastAsia" w:ascii="宋体" w:hAnsi="宋体"/>
          <w:u w:val="single"/>
          <w:lang w:eastAsia="zh-CN"/>
        </w:rPr>
        <w:t>千克，进货价格</w:t>
      </w:r>
      <w:r>
        <w:rPr>
          <w:rFonts w:hint="eastAsia" w:ascii="宋体" w:hAnsi="宋体"/>
          <w:u w:val="single"/>
          <w:lang w:val="en-US" w:eastAsia="zh-CN"/>
        </w:rPr>
        <w:t>12</w:t>
      </w:r>
      <w:r>
        <w:rPr>
          <w:rFonts w:hint="eastAsia" w:ascii="宋体" w:hAnsi="宋体"/>
          <w:u w:val="single"/>
          <w:lang w:eastAsia="zh-CN"/>
        </w:rPr>
        <w:t>元/千克、销售</w:t>
      </w:r>
      <w:r>
        <w:rPr>
          <w:rFonts w:hint="eastAsia" w:ascii="宋体" w:hAnsi="宋体"/>
          <w:u w:val="single"/>
          <w:lang w:val="en-US" w:eastAsia="zh-CN"/>
        </w:rPr>
        <w:t>48</w:t>
      </w:r>
      <w:r>
        <w:rPr>
          <w:rFonts w:hint="eastAsia" w:ascii="宋体" w:hAnsi="宋体"/>
          <w:u w:val="single"/>
          <w:lang w:eastAsia="zh-CN"/>
        </w:rPr>
        <w:t>.5千克，损耗</w:t>
      </w:r>
      <w:r>
        <w:rPr>
          <w:rFonts w:hint="eastAsia" w:ascii="宋体" w:hAnsi="宋体"/>
          <w:u w:val="single"/>
          <w:lang w:val="en-US" w:eastAsia="zh-CN"/>
        </w:rPr>
        <w:t>1</w:t>
      </w:r>
      <w:r>
        <w:rPr>
          <w:rFonts w:hint="eastAsia" w:ascii="宋体" w:hAnsi="宋体"/>
          <w:u w:val="single"/>
          <w:lang w:eastAsia="zh-CN"/>
        </w:rPr>
        <w:t>.5千克，销售价格</w:t>
      </w:r>
      <w:r>
        <w:rPr>
          <w:rFonts w:hint="eastAsia" w:ascii="宋体" w:hAnsi="宋体"/>
          <w:u w:val="single"/>
          <w:lang w:val="en-US" w:eastAsia="zh-CN"/>
        </w:rPr>
        <w:t>15.6</w:t>
      </w:r>
      <w:r>
        <w:rPr>
          <w:rFonts w:hint="eastAsia" w:ascii="宋体" w:hAnsi="宋体"/>
          <w:u w:val="single"/>
          <w:lang w:eastAsia="zh-CN"/>
        </w:rPr>
        <w:t>元/千克，总销售金额</w:t>
      </w:r>
      <w:r>
        <w:rPr>
          <w:rFonts w:hint="eastAsia" w:ascii="宋体" w:hAnsi="宋体"/>
          <w:u w:val="single"/>
          <w:lang w:val="en-US" w:eastAsia="zh-CN"/>
        </w:rPr>
        <w:t>756.6</w:t>
      </w:r>
      <w:r>
        <w:rPr>
          <w:rFonts w:hint="eastAsia" w:ascii="宋体" w:hAnsi="宋体"/>
          <w:u w:val="single"/>
          <w:lang w:eastAsia="zh-CN"/>
        </w:rPr>
        <w:t>元。该批次产品已销售完、无现货，已无库存。该批次产品已销售完、无现货。经过调查，当事人对采购的带鱼不符合国家标准的情况并不知情。</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372" w:firstLineChars="200"/>
        <w:rPr>
          <w:rFonts w:hint="eastAsia" w:ascii="宋体" w:hAnsi="宋体" w:eastAsia="宋体" w:cs="宋体"/>
          <w:sz w:val="24"/>
          <w:szCs w:val="24"/>
          <w:u w:val="single" w:color="auto"/>
          <w:lang w:eastAsia="zh-CN"/>
        </w:rPr>
      </w:pPr>
      <w:r>
        <w:rPr>
          <w:rFonts w:hint="eastAsia"/>
          <w:spacing w:val="-12"/>
          <w:u w:val="single" w:color="231F20"/>
          <w:lang w:eastAsia="zh-CN"/>
        </w:rPr>
        <w:t>该单位涉嫌</w:t>
      </w:r>
      <w:r>
        <w:rPr>
          <w:rFonts w:hint="eastAsia"/>
          <w:u w:val="single"/>
          <w:lang w:eastAsia="zh-CN"/>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w:t>
      </w:r>
      <w:r>
        <w:rPr>
          <w:rFonts w:hint="eastAsia"/>
          <w:u w:val="single"/>
          <w:lang w:val="en-US" w:eastAsia="zh-CN"/>
        </w:rPr>
        <w:t>6</w:t>
      </w:r>
      <w:r>
        <w:rPr>
          <w:rFonts w:hint="eastAsia"/>
          <w:u w:val="single"/>
          <w:lang w:eastAsia="zh-CN"/>
        </w:rPr>
        <w:t>月</w:t>
      </w:r>
      <w:r>
        <w:rPr>
          <w:rFonts w:hint="eastAsia"/>
          <w:u w:val="single"/>
          <w:lang w:val="en-US" w:eastAsia="zh-CN"/>
        </w:rPr>
        <w:t>18</w:t>
      </w:r>
      <w:r>
        <w:rPr>
          <w:rFonts w:hint="eastAsia"/>
          <w:u w:val="single"/>
          <w:lang w:eastAsia="zh-CN"/>
        </w:rPr>
        <w:t xml:space="preserve">日立案调查。 </w:t>
      </w:r>
    </w:p>
    <w:p>
      <w:pPr>
        <w:numPr>
          <w:ilvl w:val="0"/>
          <w:numId w:val="0"/>
        </w:numPr>
        <w:ind w:leftChars="0" w:firstLine="420" w:firstLineChars="200"/>
        <w:rPr>
          <w:rFonts w:hint="eastAsia" w:ascii="宋体" w:hAnsi="宋体" w:eastAsia="宋体" w:cs="宋体"/>
          <w:sz w:val="24"/>
          <w:szCs w:val="24"/>
          <w:u w:val="none" w:color="auto"/>
          <w:lang w:eastAsia="zh-CN"/>
        </w:rPr>
      </w:pPr>
      <w:r>
        <w:rPr>
          <w:rFonts w:hint="eastAsia"/>
          <w:u w:val="single"/>
          <w:lang w:eastAsia="zh-CN"/>
        </w:rPr>
        <w:t>吉林省地利生鲜农产品企业管理有限公司平泉路店销售的食用农产品中挥发性盐基氮含量超过食品安全国家标准中规定的限量，</w:t>
      </w:r>
      <w:r>
        <w:rPr>
          <w:rFonts w:hint="eastAsia"/>
          <w:color w:val="231F20"/>
          <w:u w:val="single" w:color="231F20"/>
          <w:lang w:eastAsia="zh-CN"/>
        </w:rPr>
        <w:t>违反了</w:t>
      </w:r>
      <w:r>
        <w:rPr>
          <w:rFonts w:hint="eastAsia"/>
          <w:color w:val="231F20"/>
          <w:u w:val="single"/>
          <w:lang w:eastAsia="zh-CN"/>
        </w:rPr>
        <w:t>《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w:t>
      </w:r>
      <w:r>
        <w:rPr>
          <w:color w:val="231F20"/>
          <w:u w:val="single"/>
          <w:lang w:eastAsia="zh-CN"/>
        </w:rPr>
        <w:t>”</w:t>
      </w:r>
      <w:r>
        <w:rPr>
          <w:rFonts w:hint="eastAsia"/>
          <w:color w:val="231F20"/>
          <w:u w:val="single"/>
          <w:lang w:eastAsia="zh-CN"/>
        </w:rPr>
        <w:t>和《食用农产品市场销售质量安全监督管理办法》第二十五条“禁止销售下列食用农产品</w:t>
      </w:r>
      <w:r>
        <w:rPr>
          <w:color w:val="231F20"/>
          <w:u w:val="single"/>
          <w:lang w:eastAsia="zh-CN"/>
        </w:rPr>
        <w:t>”</w:t>
      </w:r>
      <w:r>
        <w:rPr>
          <w:rFonts w:hint="eastAsia"/>
          <w:color w:val="231F20"/>
          <w:u w:val="single"/>
          <w:lang w:eastAsia="zh-CN"/>
        </w:rPr>
        <w:t>第（二）项“致病性微生物、农药残留、兽药残留、生物毒素、重金属等污染物质以及其他危害人体健康的物质含量超过食品安全标准限量的</w:t>
      </w:r>
      <w:r>
        <w:rPr>
          <w:color w:val="231F20"/>
          <w:u w:val="single"/>
          <w:lang w:eastAsia="zh-CN"/>
        </w:rPr>
        <w:t>”</w:t>
      </w:r>
      <w:r>
        <w:rPr>
          <w:rFonts w:hint="eastAsia"/>
          <w:color w:val="231F20"/>
          <w:u w:val="single"/>
          <w:lang w:eastAsia="zh-CN"/>
        </w:rPr>
        <w:t>，</w:t>
      </w:r>
      <w:bookmarkStart w:id="0" w:name="_GoBack"/>
      <w:bookmarkEnd w:id="0"/>
      <w:r>
        <w:rPr>
          <w:rFonts w:hint="eastAsia"/>
          <w:color w:val="231F20"/>
          <w:u w:val="single"/>
          <w:lang w:eastAsia="zh-CN"/>
        </w:rPr>
        <w:t xml:space="preserve">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               </w:t>
      </w:r>
    </w:p>
    <w:p>
      <w:pPr>
        <w:numPr>
          <w:ilvl w:val="0"/>
          <w:numId w:val="0"/>
        </w:numPr>
        <w:ind w:leftChars="0" w:firstLine="480" w:firstLineChars="200"/>
        <w:rPr>
          <w:rFonts w:hint="eastAsia" w:ascii="宋体" w:hAnsi="宋体" w:eastAsia="宋体" w:cs="宋体"/>
          <w:sz w:val="24"/>
          <w:szCs w:val="24"/>
          <w:u w:val="none" w:color="auto"/>
          <w:lang w:eastAsia="zh-CN"/>
        </w:rPr>
      </w:pPr>
    </w:p>
    <w:p>
      <w:pPr>
        <w:pStyle w:val="2"/>
        <w:tabs>
          <w:tab w:val="left" w:pos="5003"/>
          <w:tab w:val="left" w:pos="5963"/>
        </w:tabs>
        <w:spacing w:before="173"/>
        <w:ind w:left="4043"/>
        <w:jc w:val="center"/>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w:t>
      </w:r>
      <w:r>
        <w:rPr>
          <w:rFonts w:hint="eastAsia" w:cs="宋体"/>
          <w:color w:val="231F20"/>
          <w:sz w:val="24"/>
          <w:szCs w:val="24"/>
          <w:lang w:val="en-US" w:eastAsia="zh-CN"/>
        </w:rPr>
        <w:t>7</w:t>
      </w:r>
      <w:r>
        <w:rPr>
          <w:rFonts w:hint="eastAsia" w:ascii="宋体" w:hAnsi="宋体" w:eastAsia="宋体" w:cs="宋体"/>
          <w:color w:val="231F20"/>
          <w:sz w:val="24"/>
          <w:szCs w:val="24"/>
          <w:lang w:eastAsia="zh-CN"/>
        </w:rPr>
        <w:t>月</w:t>
      </w:r>
      <w:r>
        <w:rPr>
          <w:rFonts w:hint="eastAsia" w:cs="宋体"/>
          <w:color w:val="231F20"/>
          <w:sz w:val="24"/>
          <w:szCs w:val="24"/>
          <w:lang w:val="en-US" w:eastAsia="zh-CN"/>
        </w:rPr>
        <w:t>2</w:t>
      </w:r>
      <w:r>
        <w:rPr>
          <w:rFonts w:hint="eastAsia" w:ascii="宋体" w:hAnsi="宋体" w:eastAsia="宋体" w:cs="宋体"/>
          <w:color w:val="231F20"/>
          <w:sz w:val="24"/>
          <w:szCs w:val="24"/>
          <w:lang w:eastAsia="zh-CN"/>
        </w:rPr>
        <w:t>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364A"/>
    <w:rsid w:val="24777F33"/>
    <w:rsid w:val="3A7724F7"/>
    <w:rsid w:val="431F7DB8"/>
    <w:rsid w:val="4C4D4337"/>
    <w:rsid w:val="526E1AAB"/>
    <w:rsid w:val="5BBA6441"/>
    <w:rsid w:val="5E6F78C4"/>
    <w:rsid w:val="76CC70C6"/>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北极星</cp:lastModifiedBy>
  <cp:lastPrinted>2020-11-18T03:22:00Z</cp:lastPrinted>
  <dcterms:modified xsi:type="dcterms:W3CDTF">2020-11-18T06:22:09Z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