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长春市市场监督管理局南关分局</w:t>
      </w:r>
    </w:p>
    <w:p>
      <w:pPr>
        <w:jc w:val="center"/>
        <w:rPr>
          <w:color w:val="231F20"/>
          <w:sz w:val="30"/>
          <w:szCs w:val="30"/>
        </w:rPr>
      </w:pPr>
      <w:r>
        <w:rPr>
          <w:rFonts w:hint="eastAsia"/>
          <w:color w:val="231F20"/>
          <w:sz w:val="30"/>
          <w:szCs w:val="30"/>
        </w:rPr>
        <w:t>关于吉林省地利生鲜农产品企业管理有限公司至善路店</w:t>
      </w:r>
    </w:p>
    <w:p>
      <w:pPr>
        <w:jc w:val="center"/>
        <w:rPr>
          <w:color w:val="231F20"/>
          <w:sz w:val="30"/>
          <w:szCs w:val="30"/>
        </w:rPr>
      </w:pPr>
      <w:r>
        <w:rPr>
          <w:rFonts w:hint="eastAsia"/>
          <w:color w:val="231F20"/>
          <w:sz w:val="30"/>
          <w:szCs w:val="30"/>
        </w:rPr>
        <w:t>销售不合格食品核查处置情况的报告</w:t>
      </w:r>
    </w:p>
    <w:p>
      <w:pPr>
        <w:rPr>
          <w:color w:val="231F20"/>
          <w:sz w:val="30"/>
          <w:szCs w:val="30"/>
        </w:rPr>
      </w:pPr>
    </w:p>
    <w:p>
      <w:pPr>
        <w:numPr>
          <w:ilvl w:val="0"/>
          <w:numId w:val="1"/>
        </w:numPr>
        <w:rPr>
          <w:rFonts w:ascii="宋体" w:hAnsi="宋体" w:cs="宋体"/>
          <w:b/>
          <w:bCs/>
          <w:color w:val="231F20"/>
          <w:sz w:val="24"/>
        </w:rPr>
      </w:pPr>
      <w:r>
        <w:rPr>
          <w:rFonts w:hint="eastAsia" w:ascii="宋体" w:hAnsi="宋体" w:cs="宋体"/>
          <w:b/>
          <w:bCs/>
          <w:color w:val="231F20"/>
          <w:sz w:val="24"/>
        </w:rPr>
        <w:t>不合格食品基本情况</w:t>
      </w:r>
    </w:p>
    <w:p>
      <w:pPr>
        <w:ind w:firstLine="480" w:firstLineChars="200"/>
        <w:rPr>
          <w:rFonts w:hint="eastAsia" w:ascii="宋体" w:hAnsi="宋体" w:cs="宋体"/>
          <w:color w:val="231F20"/>
          <w:sz w:val="24"/>
          <w:u w:val="single"/>
        </w:rPr>
      </w:pPr>
      <w:r>
        <w:rPr>
          <w:rFonts w:hint="eastAsia" w:ascii="宋体" w:hAnsi="宋体" w:cs="宋体"/>
          <w:color w:val="231F20"/>
          <w:sz w:val="24"/>
          <w:u w:val="single"/>
        </w:rPr>
        <w:t>2</w:t>
      </w:r>
      <w:r>
        <w:rPr>
          <w:rFonts w:ascii="宋体" w:hAnsi="宋体" w:cs="宋体"/>
          <w:color w:val="231F20"/>
          <w:sz w:val="24"/>
          <w:u w:val="single"/>
        </w:rPr>
        <w:t>020</w:t>
      </w:r>
      <w:r>
        <w:rPr>
          <w:rFonts w:hint="eastAsia" w:ascii="宋体" w:hAnsi="宋体" w:cs="宋体"/>
          <w:color w:val="231F20"/>
          <w:sz w:val="24"/>
          <w:u w:val="single"/>
        </w:rPr>
        <w:t>年6月1</w:t>
      </w:r>
      <w:r>
        <w:rPr>
          <w:rFonts w:ascii="宋体" w:hAnsi="宋体" w:cs="宋体"/>
          <w:color w:val="231F20"/>
          <w:sz w:val="24"/>
          <w:u w:val="single"/>
        </w:rPr>
        <w:t>9</w:t>
      </w:r>
      <w:r>
        <w:rPr>
          <w:rFonts w:hint="eastAsia" w:ascii="宋体" w:hAnsi="宋体" w:cs="宋体"/>
          <w:color w:val="231F20"/>
          <w:sz w:val="24"/>
          <w:u w:val="single"/>
        </w:rPr>
        <w:t>日，我局接到吉林省吉测检测技术有限公司对吉林省地利生鲜农产品企业管理有限公司至善路店销售的带鱼抽样检测报告，经抽样检验，发性盐基氮项目不符合G</w:t>
      </w:r>
      <w:r>
        <w:rPr>
          <w:rFonts w:ascii="宋体" w:hAnsi="宋体" w:cs="宋体"/>
          <w:color w:val="231F20"/>
          <w:sz w:val="24"/>
          <w:u w:val="single"/>
        </w:rPr>
        <w:t>B2733-2015</w:t>
      </w:r>
      <w:r>
        <w:rPr>
          <w:rFonts w:hint="eastAsia" w:ascii="宋体" w:hAnsi="宋体" w:cs="宋体"/>
          <w:color w:val="231F20"/>
          <w:sz w:val="24"/>
          <w:u w:val="single"/>
        </w:rPr>
        <w:t>《食品安全国家标准 鲜、冻动物性水产品检验结论》要求，检测结论为不合格。</w:t>
      </w:r>
    </w:p>
    <w:p>
      <w:pPr>
        <w:ind w:firstLine="480" w:firstLineChars="200"/>
        <w:rPr>
          <w:rFonts w:ascii="宋体" w:hAnsi="宋体" w:cs="宋体"/>
          <w:color w:val="231F20"/>
          <w:sz w:val="24"/>
          <w:u w:val="single"/>
        </w:rPr>
      </w:pPr>
    </w:p>
    <w:p>
      <w:pPr>
        <w:rPr>
          <w:rFonts w:ascii="宋体" w:hAnsi="宋体" w:cs="宋体"/>
          <w:b/>
          <w:bCs/>
          <w:color w:val="231F20"/>
          <w:sz w:val="24"/>
        </w:rPr>
      </w:pPr>
      <w:r>
        <w:rPr>
          <w:rFonts w:hint="eastAsia" w:ascii="宋体" w:hAnsi="宋体" w:cs="宋体"/>
          <w:b/>
          <w:bCs/>
          <w:color w:val="231F20"/>
          <w:sz w:val="24"/>
        </w:rPr>
        <w:t>二．核查处置情况</w:t>
      </w:r>
    </w:p>
    <w:p>
      <w:pPr>
        <w:rPr>
          <w:rFonts w:ascii="宋体" w:hAnsi="宋体" w:cs="宋体"/>
          <w:b/>
          <w:bCs/>
          <w:color w:val="231F20"/>
          <w:sz w:val="24"/>
        </w:rPr>
      </w:pPr>
      <w:r>
        <w:rPr>
          <w:rFonts w:hint="eastAsia" w:ascii="宋体" w:hAnsi="宋体" w:cs="宋体"/>
          <w:b/>
          <w:bCs/>
          <w:color w:val="231F20"/>
          <w:sz w:val="24"/>
        </w:rPr>
        <w:t>产品控制情况：</w:t>
      </w:r>
    </w:p>
    <w:p>
      <w:pPr>
        <w:ind w:firstLine="480" w:firstLineChars="200"/>
        <w:rPr>
          <w:rFonts w:hint="eastAsia" w:ascii="宋体" w:hAnsi="宋体" w:cs="宋体"/>
          <w:color w:val="231F20"/>
          <w:sz w:val="24"/>
          <w:u w:val="single"/>
        </w:rPr>
      </w:pPr>
      <w:r>
        <w:rPr>
          <w:rFonts w:hint="eastAsia" w:ascii="宋体" w:hAnsi="宋体" w:cs="宋体"/>
          <w:color w:val="231F20"/>
          <w:sz w:val="24"/>
          <w:u w:val="single"/>
        </w:rPr>
        <w:t>经查，该店于2</w:t>
      </w:r>
      <w:r>
        <w:rPr>
          <w:rFonts w:ascii="宋体" w:hAnsi="宋体" w:cs="宋体"/>
          <w:color w:val="231F20"/>
          <w:sz w:val="24"/>
          <w:u w:val="single"/>
        </w:rPr>
        <w:t>020</w:t>
      </w:r>
      <w:r>
        <w:rPr>
          <w:rFonts w:hint="eastAsia" w:ascii="宋体" w:hAnsi="宋体" w:cs="宋体"/>
          <w:color w:val="231F20"/>
          <w:sz w:val="24"/>
          <w:u w:val="single"/>
        </w:rPr>
        <w:t>年6月1</w:t>
      </w:r>
      <w:r>
        <w:rPr>
          <w:rFonts w:ascii="宋体" w:hAnsi="宋体" w:cs="宋体"/>
          <w:color w:val="231F20"/>
          <w:sz w:val="24"/>
          <w:u w:val="single"/>
        </w:rPr>
        <w:t>9</w:t>
      </w:r>
      <w:r>
        <w:rPr>
          <w:rFonts w:hint="eastAsia" w:ascii="宋体" w:hAnsi="宋体" w:cs="宋体"/>
          <w:color w:val="231F20"/>
          <w:sz w:val="24"/>
          <w:u w:val="single"/>
        </w:rPr>
        <w:t>日由公司总部配货带鱼1</w:t>
      </w:r>
      <w:r>
        <w:rPr>
          <w:rFonts w:ascii="宋体" w:hAnsi="宋体" w:cs="宋体"/>
          <w:color w:val="231F20"/>
          <w:sz w:val="24"/>
          <w:u w:val="single"/>
        </w:rPr>
        <w:t>5</w:t>
      </w:r>
      <w:r>
        <w:rPr>
          <w:rFonts w:hint="eastAsia" w:ascii="宋体" w:hAnsi="宋体" w:cs="宋体"/>
          <w:color w:val="231F20"/>
          <w:sz w:val="24"/>
          <w:u w:val="single"/>
        </w:rPr>
        <w:t>公斤，其损耗1</w:t>
      </w:r>
      <w:r>
        <w:rPr>
          <w:rFonts w:ascii="宋体" w:hAnsi="宋体" w:cs="宋体"/>
          <w:color w:val="231F20"/>
          <w:sz w:val="24"/>
          <w:u w:val="single"/>
        </w:rPr>
        <w:t>.2</w:t>
      </w:r>
      <w:r>
        <w:rPr>
          <w:rFonts w:hint="eastAsia" w:ascii="宋体" w:hAnsi="宋体" w:cs="宋体"/>
          <w:color w:val="231F20"/>
          <w:sz w:val="24"/>
          <w:u w:val="single"/>
        </w:rPr>
        <w:t>公斤。以每公斤1</w:t>
      </w:r>
      <w:r>
        <w:rPr>
          <w:rFonts w:ascii="宋体" w:hAnsi="宋体" w:cs="宋体"/>
          <w:color w:val="231F20"/>
          <w:sz w:val="24"/>
          <w:u w:val="single"/>
        </w:rPr>
        <w:t>3.81</w:t>
      </w:r>
      <w:r>
        <w:rPr>
          <w:rFonts w:hint="eastAsia" w:ascii="宋体" w:hAnsi="宋体" w:cs="宋体"/>
          <w:color w:val="231F20"/>
          <w:sz w:val="24"/>
          <w:u w:val="single"/>
        </w:rPr>
        <w:t>元的价格进行销售，货值金额1</w:t>
      </w:r>
      <w:r>
        <w:rPr>
          <w:rFonts w:ascii="宋体" w:hAnsi="宋体" w:cs="宋体"/>
          <w:color w:val="231F20"/>
          <w:sz w:val="24"/>
          <w:u w:val="single"/>
        </w:rPr>
        <w:t>69.86</w:t>
      </w:r>
      <w:r>
        <w:rPr>
          <w:rFonts w:hint="eastAsia" w:ascii="宋体" w:hAnsi="宋体" w:cs="宋体"/>
          <w:color w:val="231F20"/>
          <w:sz w:val="24"/>
          <w:u w:val="single"/>
        </w:rPr>
        <w:t>元，除了当日抽样检测抽走1</w:t>
      </w:r>
      <w:r>
        <w:rPr>
          <w:rFonts w:ascii="宋体" w:hAnsi="宋体" w:cs="宋体"/>
          <w:color w:val="231F20"/>
          <w:sz w:val="24"/>
          <w:u w:val="single"/>
        </w:rPr>
        <w:t>.5</w:t>
      </w:r>
      <w:r>
        <w:rPr>
          <w:rFonts w:hint="eastAsia" w:ascii="宋体" w:hAnsi="宋体" w:cs="宋体"/>
          <w:color w:val="231F20"/>
          <w:sz w:val="24"/>
          <w:u w:val="single"/>
        </w:rPr>
        <w:t>公斤带鱼，其余鱼于当日已销售完毕，当事人对采购的带鱼发性盐基氮项目不符合国家标准的情况并不知情。</w:t>
      </w:r>
    </w:p>
    <w:p>
      <w:pPr>
        <w:rPr>
          <w:rFonts w:ascii="宋体" w:hAnsi="宋体" w:cs="宋体"/>
          <w:color w:val="231F20"/>
          <w:sz w:val="24"/>
          <w:u w:val="single"/>
        </w:rPr>
      </w:pPr>
    </w:p>
    <w:p>
      <w:pPr>
        <w:rPr>
          <w:rFonts w:ascii="宋体" w:hAnsi="宋体" w:cs="宋体"/>
          <w:b/>
          <w:bCs/>
          <w:color w:val="231F20"/>
          <w:sz w:val="24"/>
        </w:rPr>
      </w:pPr>
      <w:r>
        <w:rPr>
          <w:rFonts w:hint="eastAsia" w:ascii="宋体" w:hAnsi="宋体" w:cs="宋体"/>
          <w:b/>
          <w:bCs/>
          <w:color w:val="231F20"/>
          <w:sz w:val="24"/>
        </w:rPr>
        <w:t>违法行为查处情况及依据：</w:t>
      </w:r>
    </w:p>
    <w:p>
      <w:pPr>
        <w:ind w:firstLine="480" w:firstLineChars="200"/>
        <w:rPr>
          <w:rFonts w:ascii="宋体" w:hAnsi="宋体" w:cs="宋体"/>
          <w:sz w:val="24"/>
          <w:u w:val="single"/>
        </w:rPr>
      </w:pPr>
      <w:r>
        <w:rPr>
          <w:rFonts w:hint="eastAsia" w:ascii="宋体" w:hAnsi="宋体" w:cs="宋体"/>
          <w:sz w:val="24"/>
          <w:u w:val="single"/>
        </w:rPr>
        <w:t>该单位涉嫌违反了《中华人民共和国食品安全法》第三十四条第一款第（二）项和《食用农产品市场销售质量安全监督管理办法》第二十五条第（二）项的规定。依据《市场监督管理局行政处罚程序规定》第十七条第一款，经主管局长批准，于2020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日立案调查。</w:t>
      </w:r>
      <w:bookmarkStart w:id="0" w:name="_GoBack"/>
      <w:bookmarkEnd w:id="0"/>
    </w:p>
    <w:p>
      <w:pPr>
        <w:pStyle w:val="2"/>
        <w:tabs>
          <w:tab w:val="left" w:pos="8755"/>
        </w:tabs>
        <w:spacing w:before="250" w:line="360" w:lineRule="auto"/>
        <w:ind w:left="0" w:firstLine="480" w:firstLineChars="200"/>
        <w:rPr>
          <w:rFonts w:cs="宋体"/>
          <w:sz w:val="24"/>
          <w:szCs w:val="24"/>
          <w:u w:val="single"/>
        </w:rPr>
      </w:pPr>
      <w:r>
        <w:rPr>
          <w:rFonts w:hint="eastAsia" w:cs="宋体"/>
          <w:color w:val="231F20"/>
          <w:sz w:val="24"/>
          <w:u w:val="single"/>
        </w:rPr>
        <w:t>吉林省地利生鲜农产品企业管理有限公司至善路店</w:t>
      </w:r>
      <w:r>
        <w:rPr>
          <w:rFonts w:hint="eastAsia" w:cs="宋体"/>
          <w:sz w:val="24"/>
          <w:szCs w:val="24"/>
          <w:u w:val="single"/>
        </w:rPr>
        <w:t>销售的带鱼中</w:t>
      </w:r>
      <w:r>
        <w:rPr>
          <w:rFonts w:hint="eastAsia" w:cs="宋体"/>
          <w:color w:val="231F20"/>
          <w:sz w:val="24"/>
          <w:u w:val="single"/>
        </w:rPr>
        <w:t>发性盐基氮</w:t>
      </w:r>
      <w:r>
        <w:rPr>
          <w:rFonts w:hint="eastAsia" w:cs="宋体"/>
          <w:sz w:val="24"/>
          <w:szCs w:val="24"/>
          <w:u w:val="single"/>
        </w:rPr>
        <w:t>含量超过食品安全国家标准中规定的限量，</w:t>
      </w:r>
      <w:r>
        <w:rPr>
          <w:rFonts w:hint="eastAsia" w:cs="宋体"/>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Pr>
          <w:rFonts w:hint="eastAsia" w:cs="宋体"/>
          <w:sz w:val="24"/>
          <w:szCs w:val="24"/>
          <w:u w:val="single"/>
        </w:rPr>
        <w:t>已构成销售</w:t>
      </w:r>
      <w:r>
        <w:rPr>
          <w:rFonts w:hint="eastAsia" w:cs="宋体"/>
          <w:spacing w:val="-8"/>
          <w:sz w:val="24"/>
          <w:szCs w:val="24"/>
          <w:u w:val="single"/>
        </w:rPr>
        <w:t>不符合食品安全标准的食品</w:t>
      </w:r>
      <w:r>
        <w:rPr>
          <w:rFonts w:hint="eastAsia" w:cs="宋体"/>
          <w:sz w:val="24"/>
          <w:szCs w:val="24"/>
          <w:u w:val="single"/>
        </w:rPr>
        <w:t xml:space="preserve">的行为。                                             </w:t>
      </w:r>
    </w:p>
    <w:p>
      <w:pPr>
        <w:ind w:firstLine="480" w:firstLineChars="200"/>
        <w:rPr>
          <w:rFonts w:ascii="宋体" w:hAnsi="宋体" w:cs="宋体"/>
          <w:sz w:val="24"/>
          <w:u w:val="single"/>
        </w:rPr>
      </w:pPr>
      <w:r>
        <w:rPr>
          <w:rFonts w:hint="eastAsia" w:ascii="宋体" w:hAnsi="宋体" w:cs="宋体"/>
          <w:sz w:val="24"/>
          <w:u w:val="single"/>
        </w:rPr>
        <w:t xml:space="preserve">当事人对检验报告结论无异议，当事人对采购的海水虾不符合国家安全标准不合格的情况并不知情，并且已经履行了索证索票义务并能说明采购食品的来源。                                    </w:t>
      </w:r>
    </w:p>
    <w:p>
      <w:pPr>
        <w:ind w:firstLine="480" w:firstLineChars="200"/>
        <w:rPr>
          <w:rFonts w:ascii="宋体" w:hAnsi="宋体" w:cs="宋体"/>
          <w:sz w:val="24"/>
          <w:u w:val="single"/>
        </w:rPr>
      </w:pPr>
      <w:r>
        <w:rPr>
          <w:rFonts w:hint="eastAsia" w:ascii="宋体" w:hAnsi="宋体" w:cs="宋体"/>
          <w:sz w:val="24"/>
          <w:u w:val="single"/>
        </w:rPr>
        <w:t>依据《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pPr>
        <w:ind w:firstLine="480" w:firstLineChars="200"/>
        <w:rPr>
          <w:rFonts w:ascii="宋体" w:hAnsi="宋体" w:cs="宋体"/>
          <w:sz w:val="24"/>
        </w:rPr>
      </w:pPr>
    </w:p>
    <w:p>
      <w:pPr>
        <w:ind w:firstLine="480" w:firstLineChars="200"/>
        <w:rPr>
          <w:rFonts w:ascii="宋体" w:hAnsi="宋体" w:cs="宋体"/>
          <w:sz w:val="24"/>
        </w:rPr>
      </w:pPr>
    </w:p>
    <w:p>
      <w:pPr>
        <w:pStyle w:val="2"/>
        <w:tabs>
          <w:tab w:val="left" w:pos="5003"/>
          <w:tab w:val="left" w:pos="5963"/>
        </w:tabs>
        <w:spacing w:before="173"/>
        <w:ind w:left="4043"/>
        <w:jc w:val="center"/>
        <w:rPr>
          <w:rFonts w:cs="宋体"/>
          <w:color w:val="231F20"/>
          <w:sz w:val="24"/>
          <w:szCs w:val="24"/>
        </w:rPr>
      </w:pPr>
      <w:r>
        <w:rPr>
          <w:rFonts w:hint="eastAsia" w:cs="宋体"/>
          <w:sz w:val="24"/>
          <w:szCs w:val="24"/>
        </w:rPr>
        <w:t xml:space="preserve">                                </w:t>
      </w:r>
      <w:r>
        <w:rPr>
          <w:rFonts w:hint="eastAsia" w:cs="宋体"/>
          <w:color w:val="231F20"/>
          <w:sz w:val="24"/>
          <w:szCs w:val="24"/>
        </w:rPr>
        <w:t>2020年</w:t>
      </w:r>
      <w:r>
        <w:rPr>
          <w:rFonts w:cs="宋体"/>
          <w:color w:val="231F20"/>
          <w:sz w:val="24"/>
          <w:szCs w:val="24"/>
        </w:rPr>
        <w:t>7</w:t>
      </w:r>
      <w:r>
        <w:rPr>
          <w:rFonts w:hint="eastAsia" w:cs="宋体"/>
          <w:color w:val="231F20"/>
          <w:sz w:val="24"/>
          <w:szCs w:val="24"/>
        </w:rPr>
        <w:t>月</w:t>
      </w:r>
      <w:r>
        <w:rPr>
          <w:rFonts w:cs="宋体"/>
          <w:color w:val="231F20"/>
          <w:sz w:val="24"/>
          <w:szCs w:val="24"/>
        </w:rPr>
        <w:t>6</w:t>
      </w:r>
      <w:r>
        <w:rPr>
          <w:rFonts w:hint="eastAsia" w:cs="宋体"/>
          <w:color w:val="231F20"/>
          <w:sz w:val="24"/>
          <w:szCs w:val="24"/>
        </w:rPr>
        <w:t>日</w:t>
      </w:r>
    </w:p>
    <w:p>
      <w:pPr>
        <w:ind w:firstLine="480" w:firstLineChars="200"/>
        <w:rPr>
          <w:rFonts w:ascii="宋体" w:hAnsi="宋体" w:cs="宋体"/>
          <w:sz w:val="24"/>
        </w:rPr>
      </w:pPr>
      <w:r>
        <w:rPr>
          <w:rFonts w:hint="eastAsia" w:ascii="宋体" w:hAnsi="宋体" w:cs="宋体"/>
          <w:sz w:val="24"/>
        </w:rPr>
        <w:t xml:space="preserve">                </w:t>
      </w:r>
    </w:p>
    <w:p>
      <w:pPr>
        <w:rPr>
          <w:rFonts w:ascii="宋体" w:hAnsi="宋体" w:cs="宋体"/>
          <w:color w:val="231F20"/>
          <w:sz w:val="28"/>
          <w:szCs w:val="28"/>
        </w:rPr>
      </w:pPr>
    </w:p>
    <w:p>
      <w:pPr>
        <w:rPr>
          <w:rFonts w:ascii="宋体" w:hAnsi="宋体" w:cs="宋体"/>
          <w:color w:val="231F20"/>
          <w:sz w:val="28"/>
          <w:szCs w:val="28"/>
        </w:rPr>
      </w:pPr>
      <w:r>
        <w:rPr>
          <w:rFonts w:hint="eastAsia" w:ascii="宋体" w:hAnsi="宋体" w:cs="宋体"/>
          <w:color w:val="231F20"/>
          <w:sz w:val="28"/>
          <w:szCs w:val="28"/>
        </w:rPr>
        <w:t xml:space="preserve">  </w:t>
      </w:r>
    </w:p>
    <w:p>
      <w:pPr>
        <w:rPr>
          <w:rFonts w:ascii="宋体" w:hAnsi="宋体" w:cs="宋体"/>
          <w:color w:val="231F20"/>
          <w:sz w:val="28"/>
          <w:szCs w:val="28"/>
        </w:rPr>
      </w:pPr>
      <w:r>
        <w:rPr>
          <w:rFonts w:hint="eastAsia" w:ascii="宋体" w:hAnsi="宋体" w:cs="宋体"/>
          <w:color w:val="231F20"/>
          <w:sz w:val="28"/>
          <w:szCs w:val="28"/>
        </w:rPr>
        <w:t xml:space="preserve"> </w:t>
      </w:r>
    </w:p>
    <w:p>
      <w:pPr>
        <w:ind w:firstLine="2880" w:firstLineChars="400"/>
        <w:rPr>
          <w:sz w:val="72"/>
          <w:szCs w:val="72"/>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NY591nHAQAAigMAAA4AAAAAAAAAAQAgAAAAHwEAAGRycy9lMm9Eb2Mu&#10;eG1sUEsFBgAAAAAGAAYAWQEAAFg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96"/>
    <w:rsid w:val="000046E0"/>
    <w:rsid w:val="000A4BA2"/>
    <w:rsid w:val="000C25EA"/>
    <w:rsid w:val="000F6196"/>
    <w:rsid w:val="00193268"/>
    <w:rsid w:val="002968CC"/>
    <w:rsid w:val="00697C71"/>
    <w:rsid w:val="00880BC7"/>
    <w:rsid w:val="008F4F3D"/>
    <w:rsid w:val="009F12A1"/>
    <w:rsid w:val="00B322C1"/>
    <w:rsid w:val="00C41A0A"/>
    <w:rsid w:val="00E3675E"/>
    <w:rsid w:val="00E80B3A"/>
    <w:rsid w:val="00E80D66"/>
    <w:rsid w:val="00EB778D"/>
    <w:rsid w:val="1083364A"/>
    <w:rsid w:val="218E7241"/>
    <w:rsid w:val="24777F33"/>
    <w:rsid w:val="3A7724F7"/>
    <w:rsid w:val="4C4D4337"/>
    <w:rsid w:val="526E1AAB"/>
    <w:rsid w:val="5BBA6441"/>
    <w:rsid w:val="5E6F78C4"/>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182</Words>
  <Characters>1040</Characters>
  <Lines>8</Lines>
  <Paragraphs>2</Paragraphs>
  <TotalTime>1</TotalTime>
  <ScaleCrop>false</ScaleCrop>
  <LinksUpToDate>false</LinksUpToDate>
  <CharactersWithSpaces>1220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2020-11-19T03:54:00Z</dcterms:created>
  <dc:creator>Administrator</dc:creator>
  <cp:lastModifiedBy>西瓜</cp:lastModifiedBy>
  <cp:lastPrinted>2020-11-18T03:22:00Z</cp:lastPrinted>
  <dcterms:modified xsi:type="dcterms:W3CDTF">2020-11-23T01:50:49Z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