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E2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长春市南关区人民政府关于2025年财政</w:t>
      </w:r>
    </w:p>
    <w:p w14:paraId="405B9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决算（草案）和2026年上半年预算</w:t>
      </w:r>
    </w:p>
    <w:p w14:paraId="56E0B3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执行情况的报告</w:t>
      </w:r>
    </w:p>
    <w:p w14:paraId="2433F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Times New Roman" w:hAnsi="Times New Roman" w:eastAsia="仿宋_GB2312"/>
          <w:sz w:val="32"/>
        </w:rPr>
      </w:pPr>
    </w:p>
    <w:p w14:paraId="50044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Times New Roman" w:hAnsi="Times New Roman" w:eastAsia="楷体_GB2312"/>
          <w:sz w:val="32"/>
        </w:rPr>
      </w:pPr>
      <w:r>
        <w:rPr>
          <w:rFonts w:hint="eastAsia" w:ascii="Times New Roman" w:hAnsi="Times New Roman" w:eastAsia="楷体_GB2312"/>
          <w:sz w:val="32"/>
        </w:rPr>
        <w:t>区财政局局长  刘阳</w:t>
      </w:r>
    </w:p>
    <w:p w14:paraId="61A9B7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Times New Roman" w:hAnsi="Times New Roman" w:eastAsia="楷体_GB2312"/>
          <w:sz w:val="32"/>
        </w:rPr>
      </w:pPr>
      <w:r>
        <w:rPr>
          <w:rFonts w:hint="eastAsia" w:ascii="Times New Roman" w:hAnsi="Times New Roman" w:eastAsia="楷体_GB2312"/>
          <w:sz w:val="32"/>
        </w:rPr>
        <w:t>2026年8月</w:t>
      </w:r>
      <w:r>
        <w:rPr>
          <w:rFonts w:hint="eastAsia" w:ascii="Times New Roman" w:hAnsi="Times New Roman" w:eastAsia="楷体_GB2312"/>
          <w:sz w:val="32"/>
          <w:lang w:val="en-US" w:eastAsia="zh-CN"/>
        </w:rPr>
        <w:t>7</w:t>
      </w:r>
      <w:r>
        <w:rPr>
          <w:rFonts w:hint="eastAsia" w:ascii="Times New Roman" w:hAnsi="Times New Roman" w:eastAsia="楷体_GB2312"/>
          <w:sz w:val="32"/>
        </w:rPr>
        <w:t>日</w:t>
      </w:r>
    </w:p>
    <w:p w14:paraId="7D0B3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Times New Roman" w:hAnsi="Times New Roman" w:eastAsia="仿宋_GB2312"/>
          <w:sz w:val="32"/>
        </w:rPr>
      </w:pPr>
    </w:p>
    <w:p w14:paraId="5F562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主任、各位副主任、各位委员：</w:t>
      </w:r>
    </w:p>
    <w:p w14:paraId="552EE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我受区人民政府委托，向区人大常委会报告2025年财政决算（草案）和2026年上半年预算执行情况，请予审议。</w:t>
      </w:r>
    </w:p>
    <w:p w14:paraId="68B21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黑体"/>
          <w:sz w:val="32"/>
        </w:rPr>
      </w:pPr>
      <w:r>
        <w:rPr>
          <w:rFonts w:hint="eastAsia" w:ascii="Times New Roman" w:hAnsi="Times New Roman" w:eastAsia="黑体" w:cs="黑体"/>
          <w:sz w:val="32"/>
        </w:rPr>
        <w:t>一、2025年财政决算情况</w:t>
      </w:r>
    </w:p>
    <w:p w14:paraId="328F5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2025年，是决胜“十四五”的非凡之年，面对财政收入下降、收支矛盾加剧等多重叠加的困难挑战，全区财政工作坚持以习近平新时代中国特色社会主义思想为指导，深入贯彻落实党的二十大和二十届历次全会精神，在区委的坚强领导下，在人大、政协的监督支持下，迎难而上、积极而为，区级决算情况总体较好。</w:t>
      </w:r>
    </w:p>
    <w:p w14:paraId="1E69F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Times New Roman" w:hAnsi="Times New Roman" w:eastAsia="楷体_GB2312" w:cs="楷体_GB2312"/>
          <w:b/>
          <w:bCs/>
          <w:sz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lang w:val="en-US" w:eastAsia="zh-CN"/>
        </w:rPr>
        <w:t>（一）</w:t>
      </w:r>
      <w:r>
        <w:rPr>
          <w:rFonts w:hint="eastAsia" w:ascii="Times New Roman" w:hAnsi="Times New Roman" w:eastAsia="楷体_GB2312" w:cs="楷体_GB2312"/>
          <w:b/>
          <w:bCs/>
          <w:sz w:val="32"/>
        </w:rPr>
        <w:t>一般公共预算收支决算情况</w:t>
      </w:r>
    </w:p>
    <w:p w14:paraId="0233E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 xml:space="preserve">收入方面，2025年，全区一般公共预算收入完成326,343万元，其中，本级收入完成93,758万元，可比口径下降4.3%。上级补助收入151,982万元，债务转贷收入14,500万元，上年结转收入18,048万元，调入预算稳定调节基金3,056万元，调入资金44,999万元。 </w:t>
      </w:r>
    </w:p>
    <w:p w14:paraId="427C1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 xml:space="preserve">支出方面，2025年，全区一般公共预算支出完成326,343万元，其中：当年支出274,249万元，比上年下降2.7%。上解支出21,005万元，安排预算稳定调节基金10,986万元，结转下年支出20,103万元。 </w:t>
      </w:r>
    </w:p>
    <w:p w14:paraId="37D40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平衡方面，2025年，全区一般公共预算总收入与总支出相抵后，收支平衡。</w:t>
      </w:r>
    </w:p>
    <w:p w14:paraId="55914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Times New Roman" w:hAnsi="Times New Roman" w:eastAsia="楷体_GB2312" w:cs="楷体_GB2312"/>
          <w:b/>
          <w:bCs/>
          <w:sz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lang w:eastAsia="zh-CN"/>
        </w:rPr>
        <w:t>（二）</w:t>
      </w:r>
      <w:r>
        <w:rPr>
          <w:rFonts w:hint="eastAsia" w:ascii="Times New Roman" w:hAnsi="Times New Roman" w:eastAsia="楷体_GB2312" w:cs="楷体_GB2312"/>
          <w:b/>
          <w:bCs/>
          <w:sz w:val="32"/>
        </w:rPr>
        <w:t>政府性基金收支决算情况</w:t>
      </w:r>
    </w:p>
    <w:p w14:paraId="2B5DD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收入方面，2025年，全区政府性基金总收入完成23,673万元，其中，当年基金收入121万元，比上年下降3.2%，主要为专项债券对应项目专项收入；转移性收入10,203万元；债务转贷收入4,374万元；上年结转收入6,764万元；调入资金2,211万元。</w:t>
      </w:r>
    </w:p>
    <w:p w14:paraId="07776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支出方面，2025年，全区政府性基金总支出完成23,673万元，其中，当年基金支出14,601万元，比上年增长1.96倍；专项债还本支出33万元；结转下年支出9,039万元。</w:t>
      </w:r>
    </w:p>
    <w:p w14:paraId="0E50D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平衡方面，2025年，全区政府性基金总收入与总支出相抵后，收支平衡。</w:t>
      </w:r>
    </w:p>
    <w:p w14:paraId="56FD30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Times New Roman" w:hAnsi="Times New Roman" w:eastAsia="楷体_GB2312" w:cs="楷体_GB2312"/>
          <w:b/>
          <w:bCs/>
          <w:sz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lang w:val="en-US" w:eastAsia="zh-CN"/>
        </w:rPr>
        <w:t>（三）</w:t>
      </w:r>
      <w:r>
        <w:rPr>
          <w:rFonts w:hint="eastAsia" w:ascii="Times New Roman" w:hAnsi="Times New Roman" w:eastAsia="楷体_GB2312" w:cs="楷体_GB2312"/>
          <w:b/>
          <w:bCs/>
          <w:sz w:val="32"/>
        </w:rPr>
        <w:t>地方政府债务情况</w:t>
      </w:r>
    </w:p>
    <w:p w14:paraId="1CEB7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2025年末，我区债务余额242,170.31万元，其中：一般债务余额169,796.31万元，专项债务余额72,374万元。我区债务余额在上级部门核定的债务限额内，法定债务率在警戒线内，债务风险较低。</w:t>
      </w:r>
    </w:p>
    <w:p w14:paraId="7B3C1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b/>
          <w:bCs/>
          <w:sz w:val="32"/>
        </w:rPr>
        <w:t>1.政府债务结构。</w:t>
      </w:r>
      <w:r>
        <w:rPr>
          <w:rFonts w:hint="eastAsia" w:ascii="Times New Roman" w:hAnsi="Times New Roman" w:eastAsia="仿宋_GB2312"/>
          <w:sz w:val="32"/>
        </w:rPr>
        <w:t>截至2025年末，区本级政府债务余额142,074万元，占全部债务余额的58.67%；市里统筹使用我区债务限额空间，举借的债务余额100,096.31万元，占全部债务余额的41.33%。</w:t>
      </w:r>
    </w:p>
    <w:p w14:paraId="45650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b/>
          <w:bCs/>
          <w:sz w:val="32"/>
        </w:rPr>
        <w:t>2.政府债务使用方向。</w:t>
      </w:r>
      <w:r>
        <w:rPr>
          <w:rFonts w:hint="eastAsia" w:ascii="Times New Roman" w:hAnsi="Times New Roman" w:eastAsia="仿宋_GB2312"/>
          <w:sz w:val="32"/>
        </w:rPr>
        <w:t>卫生健康体系建设21,065.31万元、城市垃圾处理39,950万元、老旧小区改造32,835万元、教育学校建设43,249.69万元、应急（消防）中心建设3,300万元、偿还企业账款1,674万元。</w:t>
      </w:r>
    </w:p>
    <w:p w14:paraId="1CE1E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Times New Roman" w:hAnsi="Times New Roman" w:eastAsia="楷体_GB2312" w:cs="楷体_GB2312"/>
          <w:b/>
          <w:bCs/>
          <w:sz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lang w:val="en-US" w:eastAsia="zh-CN"/>
        </w:rPr>
        <w:t>（四）</w:t>
      </w:r>
      <w:r>
        <w:rPr>
          <w:rFonts w:hint="eastAsia" w:ascii="Times New Roman" w:hAnsi="Times New Roman" w:eastAsia="楷体_GB2312" w:cs="楷体_GB2312"/>
          <w:b/>
          <w:bCs/>
          <w:sz w:val="32"/>
        </w:rPr>
        <w:t>区级预算绩效工作推进情况</w:t>
      </w:r>
    </w:p>
    <w:p w14:paraId="3610B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2025年，由于预算一体化系统的调整，对各部门整体支出绩效目标采取单独线下审核方式，逐个项目从严核校绩效指标科学性、目标合理性及匹配精准度，并随同部门预算批复一并下发。审核标准更细、把关力度更严，进一步强化了各部门绩效主体责任和自我约束意识，推动了预算绩效管理从“全覆盖”向“提质效”转变。</w:t>
      </w:r>
    </w:p>
    <w:p w14:paraId="728858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Times New Roman" w:hAnsi="Times New Roman" w:eastAsia="楷体_GB2312" w:cs="楷体_GB2312"/>
          <w:b/>
          <w:bCs/>
          <w:sz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lang w:val="en-US" w:eastAsia="zh-CN"/>
        </w:rPr>
        <w:t>（五）</w:t>
      </w:r>
      <w:r>
        <w:rPr>
          <w:rFonts w:hint="eastAsia" w:ascii="Times New Roman" w:hAnsi="Times New Roman" w:eastAsia="楷体_GB2312" w:cs="楷体_GB2312"/>
          <w:b/>
          <w:bCs/>
          <w:sz w:val="32"/>
        </w:rPr>
        <w:t>审计决定落实情况</w:t>
      </w:r>
    </w:p>
    <w:p w14:paraId="37BB5E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2026年3月，区审计局根据《中华人民共和国审计法》，对2025年区本级预算执行和其他财政收支情况进行了审计。财政部门对审计提出的问题高度重视、严肃对待，逐项分解任务、压紧压实责任，确保所有审计落实问题在限期内整改到位。</w:t>
      </w:r>
    </w:p>
    <w:p w14:paraId="65D12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黑体"/>
          <w:sz w:val="32"/>
        </w:rPr>
      </w:pPr>
      <w:r>
        <w:rPr>
          <w:rFonts w:hint="eastAsia" w:ascii="Times New Roman" w:hAnsi="Times New Roman" w:eastAsia="黑体" w:cs="黑体"/>
          <w:sz w:val="32"/>
        </w:rPr>
        <w:t>二、2026年上半年预算执行情况</w:t>
      </w:r>
    </w:p>
    <w:p w14:paraId="02813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Times New Roman" w:hAnsi="Times New Roman" w:eastAsia="楷体_GB2312" w:cs="楷体_GB2312"/>
          <w:b/>
          <w:bCs/>
          <w:sz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lang w:eastAsia="zh-CN"/>
        </w:rPr>
        <w:t>（一）</w:t>
      </w:r>
      <w:r>
        <w:rPr>
          <w:rFonts w:hint="eastAsia" w:ascii="Times New Roman" w:hAnsi="Times New Roman" w:eastAsia="楷体_GB2312" w:cs="楷体_GB2312"/>
          <w:b/>
          <w:bCs/>
          <w:sz w:val="32"/>
        </w:rPr>
        <w:t>一般公共预算情况</w:t>
      </w:r>
    </w:p>
    <w:p w14:paraId="0B2A5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收入方面，上半年，全区一般公共预算本级财政收入实现55,463万元，完成计划的65.3%，同比增长8.3%。</w:t>
      </w:r>
    </w:p>
    <w:p w14:paraId="6712C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支出方面，上半年，全区一般公共预算支出142,276万元，完成计划的54.7%，同比增长10.7%。</w:t>
      </w:r>
    </w:p>
    <w:p w14:paraId="15AF2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Times New Roman" w:hAnsi="Times New Roman" w:eastAsia="楷体_GB2312" w:cs="楷体_GB2312"/>
          <w:b/>
          <w:bCs/>
          <w:sz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lang w:eastAsia="zh-CN"/>
        </w:rPr>
        <w:t>（二）</w:t>
      </w:r>
      <w:r>
        <w:rPr>
          <w:rFonts w:hint="eastAsia" w:ascii="Times New Roman" w:hAnsi="Times New Roman" w:eastAsia="楷体_GB2312" w:cs="楷体_GB2312"/>
          <w:b/>
          <w:bCs/>
          <w:sz w:val="32"/>
        </w:rPr>
        <w:t>政府性基金预算情况</w:t>
      </w:r>
    </w:p>
    <w:p w14:paraId="20F39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收入方面，上半年，全区没有政府性基金收入。</w:t>
      </w:r>
    </w:p>
    <w:p w14:paraId="1A8F1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支出方面，上半年，全区政府性基金支出14,185万元，同比增长5.8倍。</w:t>
      </w:r>
    </w:p>
    <w:p w14:paraId="1073D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Times New Roman" w:hAnsi="Times New Roman" w:eastAsia="楷体_GB2312" w:cs="楷体_GB2312"/>
          <w:b/>
          <w:bCs/>
          <w:sz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lang w:val="en-US" w:eastAsia="zh-CN"/>
        </w:rPr>
        <w:t>（三）</w:t>
      </w:r>
      <w:r>
        <w:rPr>
          <w:rFonts w:hint="eastAsia" w:ascii="Times New Roman" w:hAnsi="Times New Roman" w:eastAsia="楷体_GB2312" w:cs="楷体_GB2312"/>
          <w:b/>
          <w:bCs/>
          <w:sz w:val="32"/>
        </w:rPr>
        <w:t>预算执行特点</w:t>
      </w:r>
    </w:p>
    <w:p w14:paraId="5D640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b/>
          <w:bCs/>
          <w:sz w:val="32"/>
        </w:rPr>
        <w:t>1.本级财政收入增幅较好但后劲不足。</w:t>
      </w:r>
      <w:r>
        <w:rPr>
          <w:rFonts w:hint="eastAsia" w:ascii="Times New Roman" w:hAnsi="Times New Roman" w:eastAsia="仿宋_GB2312"/>
          <w:sz w:val="32"/>
        </w:rPr>
        <w:t>上半年，区本级收入完成5.5亿元，较上年同期增加0.4亿元，同比增长8.3%，增量与增速在五城区中均位列第一。</w:t>
      </w:r>
      <w:r>
        <w:rPr>
          <w:rFonts w:hint="eastAsia" w:ascii="Times New Roman" w:hAnsi="Times New Roman" w:eastAsia="仿宋_GB2312"/>
          <w:sz w:val="32"/>
          <w:lang w:eastAsia="zh-CN"/>
        </w:rPr>
        <w:t>积极清理企业</w:t>
      </w:r>
      <w:r>
        <w:rPr>
          <w:rFonts w:hint="eastAsia" w:ascii="Times New Roman" w:hAnsi="Times New Roman" w:eastAsia="仿宋_GB2312"/>
          <w:sz w:val="32"/>
        </w:rPr>
        <w:t>欠税全口径1.1亿元，区本级收入634万元</w:t>
      </w:r>
      <w:r>
        <w:rPr>
          <w:rFonts w:hint="eastAsia" w:ascii="Times New Roman" w:hAnsi="Times New Roman" w:eastAsia="仿宋_GB2312"/>
          <w:sz w:val="32"/>
          <w:lang w:eastAsia="zh-CN"/>
        </w:rPr>
        <w:t>。但</w:t>
      </w:r>
      <w:r>
        <w:rPr>
          <w:rFonts w:hint="eastAsia" w:ascii="Times New Roman" w:hAnsi="Times New Roman" w:eastAsia="仿宋_GB2312"/>
          <w:sz w:val="32"/>
        </w:rPr>
        <w:t>非税收入增长乏力，我区可</w:t>
      </w:r>
      <w:r>
        <w:rPr>
          <w:rFonts w:hint="eastAsia" w:ascii="Times New Roman" w:hAnsi="Times New Roman" w:eastAsia="仿宋_GB2312"/>
          <w:sz w:val="32"/>
          <w:lang w:eastAsia="zh-CN"/>
        </w:rPr>
        <w:t>用于</w:t>
      </w:r>
      <w:r>
        <w:rPr>
          <w:rFonts w:hint="eastAsia" w:ascii="Times New Roman" w:hAnsi="Times New Roman" w:eastAsia="仿宋_GB2312"/>
          <w:sz w:val="32"/>
        </w:rPr>
        <w:t>盘活资产少，可入库非税收入相较去年大幅下降，维持收入增长的后劲不足。</w:t>
      </w:r>
    </w:p>
    <w:p w14:paraId="180B3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b/>
          <w:bCs/>
          <w:sz w:val="32"/>
        </w:rPr>
        <w:t>2.支出保持必要强度但压力不容忽视。</w:t>
      </w:r>
      <w:r>
        <w:rPr>
          <w:rFonts w:hint="eastAsia" w:ascii="Times New Roman" w:hAnsi="Times New Roman" w:eastAsia="仿宋_GB2312"/>
          <w:sz w:val="32"/>
        </w:rPr>
        <w:t>上半年，我区严格落实“习惯过紧日子”要求，一般性支出压减近10%</w:t>
      </w:r>
      <w:r>
        <w:rPr>
          <w:rFonts w:hint="eastAsia" w:ascii="Times New Roman" w:hAnsi="Times New Roman" w:eastAsia="仿宋_GB2312"/>
          <w:sz w:val="32"/>
          <w:lang w:eastAsia="zh-CN"/>
        </w:rPr>
        <w:t>。</w:t>
      </w:r>
      <w:r>
        <w:rPr>
          <w:rFonts w:hint="eastAsia" w:ascii="Times New Roman" w:hAnsi="Times New Roman" w:eastAsia="仿宋_GB2312"/>
          <w:sz w:val="32"/>
        </w:rPr>
        <w:t>腾挪出更多财力并统筹使用各级各类资金，切实兜牢“三保+”底线，全区完成“三保+”支出共11.6亿元，占总支出的80%。人员、运行类经费得到充足保障；落实各项民生类补贴1.23亿元；足额支付债券利息0.4亿元；城市精细化管理、旧改工程款等刚性支出经费0.89亿元。今年以来，落实义务教师工资“不低于”待遇及发放退休人员生活补贴、医保上划及养老保险缴费等刚性支出持续扩张、收支矛盾加剧的压力同步凸显，紧平衡压力不断加大，财政的可持续性和抗风险能力面临考验。</w:t>
      </w:r>
    </w:p>
    <w:p w14:paraId="11833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b/>
          <w:bCs/>
          <w:sz w:val="32"/>
        </w:rPr>
        <w:t>3.财政管理模式发生转变但要求更高。</w:t>
      </w:r>
      <w:r>
        <w:rPr>
          <w:rFonts w:hint="eastAsia" w:ascii="Times New Roman" w:hAnsi="Times New Roman" w:eastAsia="仿宋_GB2312"/>
          <w:sz w:val="32"/>
        </w:rPr>
        <w:t>在当前省级统筹的“全域财政治理”大财政管理模式下，区级财政管理水平面临更高要求。为适应新形势、新任务，财政管理需全面提升系统化、精细化、标准化、法治化水平，以更高标准、更严要求推进科学管理。通过构建更加科学规范、运转高效、约束有力的管理模式，积极应对转变带来的挑战。</w:t>
      </w:r>
    </w:p>
    <w:p w14:paraId="08596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黑体" w:cs="黑体"/>
          <w:sz w:val="32"/>
        </w:rPr>
      </w:pPr>
      <w:r>
        <w:rPr>
          <w:rFonts w:hint="eastAsia" w:ascii="Times New Roman" w:hAnsi="Times New Roman" w:eastAsia="黑体" w:cs="黑体"/>
          <w:sz w:val="32"/>
        </w:rPr>
        <w:t>三、下半年工作安排</w:t>
      </w:r>
    </w:p>
    <w:p w14:paraId="4F444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下半年，区财政局将紧扣当前财政工作面临的新形势、新挑战，聚焦全年目标任务，全力以赴稳住财政运行大盘。</w:t>
      </w:r>
    </w:p>
    <w:p w14:paraId="3C028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</w:rPr>
        <w:t>（一）坚持开源与节流相结合，保障财政运行平稳有序。</w:t>
      </w:r>
      <w:r>
        <w:rPr>
          <w:rFonts w:hint="eastAsia" w:ascii="Times New Roman" w:hAnsi="Times New Roman" w:eastAsia="仿宋_GB2312"/>
          <w:sz w:val="32"/>
        </w:rPr>
        <w:t>夯实收入基本盘是区级财政的首要任务。强化财税联动机制，加大欠税清缴力度。聚焦重点行业、企业和项目开展税源监测，稳定存量、拓展增量。推进存量资金定期核查和清理，促进国有资产高效利用。严格落实“过紧日子要求”，持续压减一般性支出。严格履行项目审批程序，优先在现有预算内统筹解决。对支出进度缓慢、未如期实施或未开展的项目资金，收回调剂统筹使用于其他</w:t>
      </w:r>
      <w:r>
        <w:rPr>
          <w:rFonts w:hint="eastAsia" w:ascii="Times New Roman" w:hAnsi="Times New Roman" w:eastAsia="仿宋_GB2312"/>
          <w:sz w:val="32"/>
          <w:lang w:eastAsia="zh-CN"/>
        </w:rPr>
        <w:t>亟须</w:t>
      </w:r>
      <w:r>
        <w:rPr>
          <w:rFonts w:hint="eastAsia" w:ascii="Times New Roman" w:hAnsi="Times New Roman" w:eastAsia="仿宋_GB2312"/>
          <w:sz w:val="32"/>
        </w:rPr>
        <w:t>支出项目。</w:t>
      </w:r>
    </w:p>
    <w:p w14:paraId="72113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</w:rPr>
        <w:t>（二）坚持规范与绩效相结合，推动资金使用提质增效。</w:t>
      </w:r>
      <w:r>
        <w:rPr>
          <w:rFonts w:hint="eastAsia" w:ascii="Times New Roman" w:hAnsi="Times New Roman" w:eastAsia="仿宋_GB2312"/>
          <w:sz w:val="32"/>
        </w:rPr>
        <w:t>优化支出结构是提升资金效益的关键。科学有序安排支出，将有限的财力优先保障“三保+”支出需求，并向社保、医疗、教育等民生领域倾斜。</w:t>
      </w:r>
      <w:r>
        <w:rPr>
          <w:rFonts w:hint="eastAsia" w:ascii="Times New Roman" w:hAnsi="Times New Roman" w:eastAsia="仿宋_GB2312"/>
          <w:sz w:val="32"/>
          <w:lang w:eastAsia="zh-CN"/>
        </w:rPr>
        <w:t>依托预算管理一体化系统</w:t>
      </w:r>
      <w:r>
        <w:rPr>
          <w:rFonts w:hint="eastAsia" w:ascii="Times New Roman" w:hAnsi="Times New Roman" w:eastAsia="仿宋_GB2312"/>
          <w:sz w:val="32"/>
        </w:rPr>
        <w:t>，</w:t>
      </w:r>
      <w:r>
        <w:rPr>
          <w:rFonts w:hint="eastAsia" w:ascii="Times New Roman" w:hAnsi="Times New Roman" w:eastAsia="仿宋_GB2312"/>
          <w:sz w:val="32"/>
          <w:lang w:eastAsia="zh-CN"/>
        </w:rPr>
        <w:t>通过</w:t>
      </w:r>
      <w:r>
        <w:rPr>
          <w:rFonts w:hint="eastAsia" w:ascii="Times New Roman" w:hAnsi="Times New Roman" w:eastAsia="仿宋_GB2312"/>
          <w:sz w:val="32"/>
        </w:rPr>
        <w:t>支付预警与动态监控确保每一笔资金支出清晰合规。健全以绩效为导向的财政资金配置机制，推动预算管理从“注重投入”向“注重产出和绩效”转变。</w:t>
      </w:r>
    </w:p>
    <w:p w14:paraId="5D15F0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</w:rPr>
        <w:t>（三）坚持改革与转型相结合，推动体制机制创新突破。</w:t>
      </w:r>
      <w:r>
        <w:rPr>
          <w:rFonts w:hint="eastAsia" w:ascii="Times New Roman" w:hAnsi="Times New Roman" w:eastAsia="仿宋_GB2312"/>
          <w:sz w:val="32"/>
        </w:rPr>
        <w:t>零基预算改革是打破支出固化格局的核心抓手。进一步深化“基数全部清零、项目重新论证、轻重缓急排序、择优安排预算”机制，坚持“以政策定项目、以标准定额度、以绩效定增减”。研究落实上级关于深化开发区管理制度改革的意见决策部署，加快推进开发区财政管理体制改革。深入贯彻落实省市关于深化国有企业改革的决策部署，确定区属国企六个方面27项改革任务，推动区属国企改革“走深走实”。</w:t>
      </w:r>
    </w:p>
    <w:p w14:paraId="2F01C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Times New Roman" w:hAnsi="Times New Roman" w:eastAsia="仿宋_GB2312"/>
          <w:sz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</w:rPr>
        <w:t>（四）坚持发展与安全相结合，推动风险化解守牢底线。</w:t>
      </w:r>
      <w:r>
        <w:rPr>
          <w:rFonts w:hint="eastAsia" w:ascii="Times New Roman" w:hAnsi="Times New Roman" w:eastAsia="仿宋_GB2312"/>
          <w:sz w:val="32"/>
        </w:rPr>
        <w:t>防范运行风险是财政平稳运行的底线和前提。下半年将全力兜牢“三保+”支出底线，确保人员、运转和民生经费得到充足保障。强化库款保障和资金调度，确保库款保障水平始终处于合理区间。完善地方债务监测机制，坚决遏制增量、稳妥化解存量。做好财政承受能力动态评估，强化政府投资项目预算约束。紧盯小额贷款、融资担保、典当行等地方金融组织，严厉打击非法金融活动。</w:t>
      </w:r>
    </w:p>
    <w:p w14:paraId="2DDA2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Times New Roman" w:hAnsi="Times New Roman" w:eastAsia="仿宋_GB2312"/>
          <w:sz w:val="32"/>
        </w:rPr>
      </w:pPr>
      <w:r>
        <w:rPr>
          <w:rFonts w:hint="eastAsia" w:ascii="Times New Roman" w:hAnsi="Times New Roman" w:eastAsia="仿宋_GB2312"/>
          <w:sz w:val="32"/>
        </w:rPr>
        <w:t>主任、各位副主任、各位委员，2026年是“十五五”规划的开局之年，也是抢抓新机遇、应对新挑战的关键之年。开局关系全局、起步决定后势，站在这个关键节点，财政部门将以更加昂扬的斗志、更加务实的作风、更加有力的举措，扎实做好各项财政工作，在区委的坚强领导下、在人大、政协的监督支持下，全面贯彻落实习近平新时代中国特色社会主义思想，认真落实区委十四届十次全会明确的各项经济任务目标，确保全年财政收支平衡、运行平稳、风险可控</w:t>
      </w:r>
      <w:bookmarkStart w:id="0" w:name="_GoBack"/>
      <w:bookmarkEnd w:id="0"/>
      <w:r>
        <w:rPr>
          <w:rFonts w:hint="eastAsia" w:ascii="Times New Roman" w:hAnsi="Times New Roman" w:eastAsia="仿宋_GB2312"/>
          <w:sz w:val="32"/>
        </w:rPr>
        <w:t>，为全区经济社会高质量发展提供坚强财政保障！</w:t>
      </w:r>
    </w:p>
    <w:sectPr>
      <w:footerReference r:id="rId3" w:type="default"/>
      <w:pgSz w:w="11906" w:h="16838"/>
      <w:pgMar w:top="1417" w:right="1417" w:bottom="1417" w:left="141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CF77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83C8A8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83C8A8">
                    <w:pPr>
                      <w:pStyle w:val="2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27A0F"/>
    <w:rsid w:val="054207E6"/>
    <w:rsid w:val="09434CDD"/>
    <w:rsid w:val="0CAF5128"/>
    <w:rsid w:val="0F9F53B7"/>
    <w:rsid w:val="11733C86"/>
    <w:rsid w:val="188E5A7F"/>
    <w:rsid w:val="18ED07C2"/>
    <w:rsid w:val="20102F53"/>
    <w:rsid w:val="26393298"/>
    <w:rsid w:val="26DC29D7"/>
    <w:rsid w:val="26F241DD"/>
    <w:rsid w:val="28CF517E"/>
    <w:rsid w:val="34824267"/>
    <w:rsid w:val="3AEF556F"/>
    <w:rsid w:val="45C02C36"/>
    <w:rsid w:val="4BF058F8"/>
    <w:rsid w:val="51920D45"/>
    <w:rsid w:val="531E5003"/>
    <w:rsid w:val="54FB1595"/>
    <w:rsid w:val="5B7200D7"/>
    <w:rsid w:val="5D290C69"/>
    <w:rsid w:val="5F3A53B0"/>
    <w:rsid w:val="62127F1E"/>
    <w:rsid w:val="647C3D75"/>
    <w:rsid w:val="673F5EBD"/>
    <w:rsid w:val="6CC83FFB"/>
    <w:rsid w:val="6E873A42"/>
    <w:rsid w:val="6F71097A"/>
    <w:rsid w:val="79532E9E"/>
    <w:rsid w:val="7EAF501B"/>
    <w:rsid w:val="7EC2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4c473c14-1c0b-4da2-94f9-cfa09382c4af</errorID>
      <errorWord>一般公共预算总收入</errorWord>
      <group>L1_Political</group>
      <groupName>政治性问题</groupName>
      <ability>L2_Keyword</ability>
      <abilityName>固定表述</abilityName>
      <candidateList>
        <item>一般公共预算收入</item>
      </candidateList>
      <explain>词汇“一般公共预算收入”在特定场景下为固定表述形式，请确认此处的“一般公共预算总收入”是否存在不当。</explain>
      <paraID>37D40131</paraID>
      <start>13</start>
      <end>22</end>
      <status>ignored</status>
      <modifiedWord/>
      <trackRevisions>false</trackRevisions>
    </reviewItem>
    <reviewItem>
      <errorID>7c26760e-d3c0-4119-94a8-2f99251fb6f9</errorID>
      <errorWord>“三保+”底线</errorWord>
      <group>L1_Political</group>
      <groupName>政治性问题</groupName>
      <ability>L2_Keyword</ability>
      <abilityName>固定表述</abilityName>
      <candidateList>
        <item>“三保”底线</item>
      </candidateList>
      <explain>注意检查当前固定表述标点是否使用规范。</explain>
      <paraID>180B3C9B</paraID>
      <start>74</start>
      <end>81</end>
      <status>ignored</status>
      <modifiedWord/>
      <trackRevisions>false</trackRevisions>
    </reviewItem>
    <reviewItem>
      <errorID>52e81bac-d896-4bed-a768-ef95397e4b5a</errorID>
      <errorWord>亟须</errorWord>
      <group>L1_Word</group>
      <groupName>字词问题</groupName>
      <ability>L2_Typo</ability>
      <abilityName>字词错误</abilityName>
      <candidateList>
        <item>亟需</item>
      </candidateList>
      <explain>存在发音相同字词的误用。</explain>
      <paraID>3C028A30</paraID>
      <start>196</start>
      <end>198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b5fd61-0572-49d3-aaaa-5b46297d5f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2977</Words>
  <Characters>3298</Characters>
  <Lines>0</Lines>
  <Paragraphs>0</Paragraphs>
  <TotalTime>14</TotalTime>
  <ScaleCrop>false</ScaleCrop>
  <LinksUpToDate>false</LinksUpToDate>
  <CharactersWithSpaces>3302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2026-07-27T02:04:00Z</dcterms:created>
  <dc:creator>Administrator</dc:creator>
  <cp:lastModifiedBy>喜欢 的小丸子</cp:lastModifiedBy>
  <dcterms:modified xsi:type="dcterms:W3CDTF">2026-07-29T05:34:28Z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eyJoZGlkIjoiY2YzNzAxOWU2MDY0MWM4MTI0OGI0NjIzYmViZTRlNDEiLCJ1c2VySWQiOiIyMDMwNTc1OTYifQ==</vt:lpwstr>
  </property>
  <property fmtid="{D5CDD505-2E9C-101B-9397-08002B2CF9AE}" pid="4" name="ICV">
    <vt:lpwstr>8D9EF614F5D743ABBE285CD5EFC1C6DC_12</vt:lpwstr>
  </property>
</Properties>
</file>