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217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2024年南关区长通街道办事处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政府信息公开</w:t>
      </w:r>
    </w:p>
    <w:p w14:paraId="400A133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工作年度报告</w:t>
      </w:r>
    </w:p>
    <w:p w14:paraId="1F202B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29C3F0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年以来，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长通街道</w:t>
      </w:r>
      <w:r>
        <w:rPr>
          <w:rFonts w:hint="eastAsia" w:ascii="宋体" w:hAnsi="宋体" w:eastAsia="宋体" w:cs="宋体"/>
          <w:sz w:val="24"/>
          <w:szCs w:val="24"/>
        </w:rPr>
        <w:t>通过官方网站、公示栏等多种渠道，主动公开了街道工作动态、政策文件、社会救助、公共服务等群众关心的热点信息，有效保障了公众的知情权、参与权和监督权。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报告由总体情况、主动公开政府信息情况、收到和处理政府信息公开申请情况、政府信息公开行政复议、行政诉讼情况、存在的主要问题及改进情况、其他需要报告的事项六部分组成。</w:t>
      </w:r>
      <w:r>
        <w:rPr>
          <w:rFonts w:hint="eastAsia" w:ascii="宋体" w:hAnsi="宋体" w:eastAsia="宋体" w:cs="宋体"/>
          <w:sz w:val="24"/>
          <w:szCs w:val="24"/>
        </w:rPr>
        <w:t>本报告数据统计期限为202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年1月1日至202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月31日止。如对本年度报告有疑问，请与南关区长通街道办事处办公室联系（办公地址：长春市亚泰大街1055号；咨询电话：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82875429</w:t>
      </w:r>
      <w:r>
        <w:rPr>
          <w:rFonts w:hint="eastAsia" w:ascii="宋体" w:hAnsi="宋体" w:eastAsia="宋体" w:cs="宋体"/>
          <w:sz w:val="24"/>
          <w:szCs w:val="24"/>
        </w:rPr>
        <w:t>；邮政编码：130042）。</w:t>
      </w:r>
    </w:p>
    <w:p w14:paraId="516FD5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 w14:paraId="3961C47C"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年，长通街道按照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区委、区政府的统一部署和工作要求，紧紧围绕《条例》和上级有关文件要求，不断规范政府信息公开内容，创新公开形式，完善公开制度，强化公开监督，不断增强政府工作透明度，持续推行依法行政工作，较好地完成了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度政务公开工作。主要梳理了主动公开、依法申请公开、政府信息管理、政府信息公开平台建设、监督保障（含《中华人民共和国政府信息公开条例》第五十条第四项规定的各级人民政府“工作考核、社会评议和责任追究结果情况”）等方面，经认真梳理后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街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信息公开工作主要包括:</w:t>
      </w:r>
    </w:p>
    <w:p w14:paraId="2259D7EF">
      <w:pPr>
        <w:numPr>
          <w:ilvl w:val="0"/>
          <w:numId w:val="1"/>
        </w:numPr>
        <w:ind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组织推动政府信息公开工作</w:t>
      </w:r>
    </w:p>
    <w:p w14:paraId="67990DB2"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</w:t>
      </w:r>
      <w:r>
        <w:rPr>
          <w:rFonts w:hint="eastAsia" w:ascii="宋体" w:hAnsi="宋体" w:eastAsia="宋体" w:cs="宋体"/>
          <w:sz w:val="24"/>
          <w:szCs w:val="24"/>
        </w:rPr>
        <w:t>一年里，我们加强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了</w:t>
      </w:r>
      <w:r>
        <w:rPr>
          <w:rFonts w:hint="eastAsia" w:ascii="宋体" w:hAnsi="宋体" w:eastAsia="宋体" w:cs="宋体"/>
          <w:sz w:val="24"/>
          <w:szCs w:val="24"/>
        </w:rPr>
        <w:t>政府信息公开工作，不断提升信息公开的质量和水平。依法按时完成长通街道202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年政府信息公开年度报告，并于202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日之前在南关区人民政府网站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长通街道办事处政府信息公开专栏处</w:t>
      </w:r>
      <w:r>
        <w:rPr>
          <w:rFonts w:hint="eastAsia" w:ascii="宋体" w:hAnsi="宋体" w:eastAsia="宋体" w:cs="宋体"/>
          <w:sz w:val="24"/>
          <w:szCs w:val="24"/>
        </w:rPr>
        <w:t>向社会公布，主动接受社会监督。</w:t>
      </w:r>
    </w:p>
    <w:p w14:paraId="5DC51B55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政府信息主动公开情况</w:t>
      </w:r>
    </w:p>
    <w:p w14:paraId="43DA7C8D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2024年，长通街道</w:t>
      </w:r>
      <w:r>
        <w:rPr>
          <w:rFonts w:hint="eastAsia" w:ascii="宋体" w:hAnsi="宋体" w:eastAsia="宋体" w:cs="宋体"/>
          <w:sz w:val="24"/>
          <w:szCs w:val="24"/>
        </w:rPr>
        <w:t>全面完成政务公开专栏升级工作，通过政府信息公开专栏，主动公开完善政府信息公开指南、公开制度、政策文件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履职依据、机构职能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机关简介等法定主动公开内容，并按照规定对专栏进行日常维护，按时主动公开信息，每月至少更新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</w:t>
      </w:r>
      <w:r>
        <w:rPr>
          <w:rFonts w:hint="eastAsia" w:ascii="宋体" w:hAnsi="宋体" w:eastAsia="宋体" w:cs="宋体"/>
          <w:sz w:val="24"/>
          <w:szCs w:val="24"/>
        </w:rPr>
        <w:t>次，202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年我街政务公开专栏共计发布信息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条。全年共计报送信息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167</w:t>
      </w:r>
      <w:r>
        <w:rPr>
          <w:rFonts w:hint="eastAsia" w:ascii="宋体" w:hAnsi="宋体" w:eastAsia="宋体" w:cs="宋体"/>
          <w:sz w:val="24"/>
          <w:szCs w:val="24"/>
        </w:rPr>
        <w:t>篇，采用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152</w:t>
      </w:r>
      <w:r>
        <w:rPr>
          <w:rFonts w:hint="eastAsia" w:ascii="宋体" w:hAnsi="宋体" w:eastAsia="宋体" w:cs="宋体"/>
          <w:sz w:val="24"/>
          <w:szCs w:val="24"/>
        </w:rPr>
        <w:t>条，总采用率达到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91</w:t>
      </w:r>
      <w:r>
        <w:rPr>
          <w:rFonts w:hint="eastAsia" w:ascii="宋体" w:hAnsi="宋体" w:eastAsia="宋体" w:cs="宋体"/>
          <w:sz w:val="24"/>
          <w:szCs w:val="24"/>
        </w:rPr>
        <w:t>%。</w:t>
      </w:r>
    </w:p>
    <w:p w14:paraId="029B74A3">
      <w:pPr>
        <w:numPr>
          <w:ilvl w:val="0"/>
          <w:numId w:val="1"/>
        </w:numPr>
        <w:ind w:left="0" w:leftChars="0"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依申请公开工作。</w:t>
      </w:r>
    </w:p>
    <w:p w14:paraId="6FE37152">
      <w:pPr>
        <w:numPr>
          <w:ilvl w:val="0"/>
          <w:numId w:val="0"/>
        </w:numPr>
        <w:ind w:left="0" w:leftChars="0" w:firstLine="480" w:firstLineChars="200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认真学习依申请公开办理业务，规范信息公开申请的处理流程，根据政府信息公开有关规定，及时受理群众依公开申请，认真核对依申请公开答复内容。202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长通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街道办事处未接到任何形式的信息公开申请。</w:t>
      </w:r>
    </w:p>
    <w:p w14:paraId="24FF05AC">
      <w:pPr>
        <w:numPr>
          <w:ilvl w:val="0"/>
          <w:numId w:val="0"/>
        </w:numPr>
        <w:ind w:left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（四）强化信息公开督促检查。</w:t>
      </w:r>
    </w:p>
    <w:p w14:paraId="7C3E7E94"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加强政府信息公开工作自查，我们严格实施“三审”责任制，即信息发布前需经过初审、复审、终审三道关卡，确保信息的准确性、权威性和时效性。确保政府信息发布及时、准确。 </w:t>
      </w:r>
    </w:p>
    <w:p w14:paraId="03C82C1D"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）强化责任追究。</w:t>
      </w:r>
    </w:p>
    <w:p w14:paraId="4EB9E3DF">
      <w:pPr>
        <w:ind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切实加强对信息公开工作的监督检查，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综合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办协同各科室对政务公开的信息量、完整性、时效性、准确性等进行检查和指导，研究解决工作中出现的新情况和新问题。2024年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街道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政务公开工作未发生需追究责任情况，全年未收到相关投诉举报。</w:t>
      </w:r>
    </w:p>
    <w:p w14:paraId="55258D2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420" w:leftChars="0" w:right="0" w:rightChars="0"/>
        <w:jc w:val="both"/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主动公开政府信息情况</w:t>
      </w:r>
    </w:p>
    <w:tbl>
      <w:tblPr>
        <w:tblStyle w:val="3"/>
        <w:tblW w:w="81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 w14:paraId="271A2EE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BCF35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28EEB65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F7AF4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F1D8E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CB62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6A438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 w14:paraId="5979C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28EBB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规章：地方行政规章指各省、自治区、直辖市的人民政府和省、自治区的人民政府所在地的市以及设区市的人民政府根据宪法、法律和行政法规等制定和发布的规范性文件。规章的名称一般称“规定”、“办法”，但不得称“条例”。 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0D62C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594E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46908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A9D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36AF4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：是指各级人民政府及其派出机关、县级以上人民政府所属工作部门和法律、法规授权的具有管理公共事务职能的组织，在法定职权范围内依照法定程序制定、发布的针对不特定的多数人和特定事项，涉及或者影响公民、法人或者其他组织权利义务，在本行政区域或其管理范围内具有普遍约束力，能够反复适用的行政措施、决定、命令或者指示等行政规范。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00161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2762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7FEC0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0FE01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34CB8A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67332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4CB4D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B817B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D6A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8B935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 w14:paraId="265BE6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C9713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E16BE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EAE20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DD52E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 w14:paraId="5C12A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895EC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76297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5B1DC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AE5E4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 w14:paraId="3ED60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B316B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26F5AC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BFD95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B7B51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157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FD6C7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 w14:paraId="6284B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B14A2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6DE8E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82E7F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67476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09B4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7C4E8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9AD75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200" w:firstLineChars="10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6ACF4A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088AA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62AC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2E2A8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26D8D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879D9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85F9E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574B3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 w14:paraId="150FD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D572D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09A9A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7D47F3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 w14:paraId="0AD6CE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6C223B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 w14:paraId="07478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ACDC6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E8FC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68804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 w14:paraId="6B720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596F82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916BB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293FC8A7">
            <w:pPr>
              <w:rPr>
                <w:rFonts w:hint="default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4A5E53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757287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3"/>
        <w:gridCol w:w="2080"/>
        <w:gridCol w:w="820"/>
        <w:gridCol w:w="755"/>
        <w:gridCol w:w="755"/>
        <w:gridCol w:w="813"/>
        <w:gridCol w:w="973"/>
        <w:gridCol w:w="712"/>
        <w:gridCol w:w="694"/>
      </w:tblGrid>
      <w:tr w14:paraId="56DF4C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D410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  <w:p w14:paraId="5FD319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：指2019办理总数+2018年未办结数（跨年办理数）=2019办结数+2019未结数（跨年办理数）</w:t>
            </w:r>
          </w:p>
        </w:tc>
        <w:tc>
          <w:tcPr>
            <w:tcW w:w="552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8D4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783E086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3705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DF46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06CD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C968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58423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0819F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C97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7524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C71E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9AC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C2DF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E43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3AD7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7DA51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20F4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E702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4A1F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DA38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62D4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7C9C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09E8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C743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16"/>
                <w:szCs w:val="16"/>
                <w:lang w:val="en-US" w:eastAsia="zh-CN" w:bidi="ar"/>
              </w:rPr>
              <w:t>0</w:t>
            </w:r>
          </w:p>
        </w:tc>
      </w:tr>
      <w:tr w14:paraId="0A6EE9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1D68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D9E5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9A2B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020F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77CE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04E8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3B9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59E4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16"/>
                <w:szCs w:val="16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2D6F3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8DE0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3AC1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26B0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220D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4198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FD19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D484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AA34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4BC7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16"/>
                <w:szCs w:val="16"/>
                <w:lang w:val="en-US" w:eastAsia="zh-CN" w:bidi="ar"/>
              </w:rPr>
              <w:t>0</w:t>
            </w:r>
          </w:p>
        </w:tc>
      </w:tr>
      <w:tr w14:paraId="5A88A17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5F329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D2D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FD53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E4C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569D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9C75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F611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AA9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F8D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1D776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13392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C510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（三）不予公开</w:t>
            </w:r>
            <w:bookmarkStart w:id="0" w:name="_GoBack"/>
            <w:bookmarkEnd w:id="0"/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1441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E065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365D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F3AF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AC6E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B663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DCDA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701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78130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A076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1F1A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9B9C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54F7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4EB2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78E2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67D7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CF17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538C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8730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32316B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E5D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35FA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5D9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6B32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D1DF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F871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CB0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7C8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3644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F1A7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55F8B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3795E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63D84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50D7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D00C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4970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018B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A23A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A517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9894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0EF9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2DD74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D679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F9F7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4865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217D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F416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D87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04D1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142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8B34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B265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1977A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2FE7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869F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059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0A70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F550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C075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62F4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30E1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2FB7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0ECC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4B668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7AC1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98B1D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207A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A97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96D6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53A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49AA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71FC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03BA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67C8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A4C52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932BE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7BF01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31BD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9815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7E43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FB1D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9586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F064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8661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8D25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1835C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F7B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4873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DE60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ED27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1681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F052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CC9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3E0D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915D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DF4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715D6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A570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2DBC7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07BF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1FFF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27B9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F73E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4C3F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4C48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55D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110B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5948B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0CB81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6E86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6E49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0063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BC90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6B42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6A94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342C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68FF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592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58974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E84B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F75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7B74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4D54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97F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184F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8264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4739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6549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6DAA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42A6E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080A7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3527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8D60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13FA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47D1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ADEF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6D53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181D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62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4B60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5CE98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5D8C5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6DEB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C9D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3E5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2630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C936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DFF0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8D3B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847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5552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3F32B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5A364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30A99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4AA4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5FD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8E2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108A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9CF4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5D95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6846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3DE1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D8064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8853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BE8B3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ABDB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276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9ECB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DF34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9A5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7420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58CA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3118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759F29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77EE5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94C6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B33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9458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1C8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EA3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466A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A34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2E22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751926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1B31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013E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12F4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780F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0F35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43C6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2151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E1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A612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7C5018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4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5FA3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A3A4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367C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E5B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E5C7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4280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BC14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76B5C1">
            <w:pPr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 w14:paraId="03822E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5BAC50C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20" w:leftChars="0" w:right="0" w:rightChars="0"/>
        <w:jc w:val="both"/>
        <w:rPr>
          <w:rFonts w:hint="default" w:ascii="宋体" w:hAnsi="宋体" w:eastAsia="宋体" w:cs="宋体"/>
          <w:kern w:val="0"/>
          <w:sz w:val="20"/>
          <w:szCs w:val="20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四、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政府信息公开行政复议、行政诉讼情况</w:t>
      </w:r>
    </w:p>
    <w:p w14:paraId="2CD517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6B1444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7526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8B0A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4527DC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047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490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003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EEB5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1B3D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F6A4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4ABC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09E758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D268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F1DC0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9238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6294D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8C8CB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377B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53E5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F2CC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A08E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6BB9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82F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F082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89AA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9A14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6126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064F1D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E461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B6A9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BB95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E8C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7F1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B51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5EE0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8A48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01EC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9CFF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7C02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27A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69EB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0327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67E200"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54879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3C78D1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五、存在的主要问题及改进情况</w:t>
      </w:r>
    </w:p>
    <w:p w14:paraId="65E7FA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尽管我们在政务公开工作中取得了显著成效，但仍存在一些不足之处。一是信息公开的时效性有待进一步提高，部分信息更新不够及时；二是信息公开的深度和广度还需拓展，特别是对一些专业性较强、群众关注度高的信息，需要更加深入细致地解读和公开；三是政务公开工作的群众参与度不高，需要进一步加强与群众的互动和交流。</w:t>
      </w:r>
    </w:p>
    <w:p w14:paraId="14F5953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针对上述不足，东市街道将采取以下措施加以改进和提升：</w:t>
      </w:r>
    </w:p>
    <w:p w14:paraId="4CA944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1.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加强信息更新时效性：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建立更加完善的信息更新机制，确保各类信息能够及时、准确地公开。同时，加强对信息更新情况的监督检查，确保各项制度落到实处。</w:t>
      </w:r>
    </w:p>
    <w:p w14:paraId="7BF197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深化信息公开内容：围绕群众关心的热点难点问题，进一步拓展信息公开的深度和广度。加强对专业性较强、群众关注度高的信息的解读和公开，提高信息的可读性和易懂性。</w:t>
      </w:r>
    </w:p>
    <w:p w14:paraId="044043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提升群众参与度：通过举办座谈会、问卷调查等方式，加强与群众的沟通和交流，广泛听取群众的意见和建议。同时，加大对政务公开工作的宣传力度，提高群众的知晓率和参与度。</w:t>
      </w:r>
    </w:p>
    <w:p w14:paraId="440216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 w14:paraId="21DD68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根据《政府信息公开信息处理费管理办法》的相关规定，没有超出一定数量或频次范围，未收取信息处理费。</w:t>
      </w:r>
    </w:p>
    <w:p w14:paraId="4A5F21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66C3F"/>
    <w:multiLevelType w:val="singleLevel"/>
    <w:tmpl w:val="17D66C3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NDhlMDM1Yjk5NTU2MDIwZmVhMzliYmJiMjMwMTEifQ=="/>
  </w:docVars>
  <w:rsids>
    <w:rsidRoot w:val="3EC074E1"/>
    <w:rsid w:val="021B7F5D"/>
    <w:rsid w:val="06FB4F7C"/>
    <w:rsid w:val="080706D0"/>
    <w:rsid w:val="0A244ED6"/>
    <w:rsid w:val="0AAF1EFF"/>
    <w:rsid w:val="0B9A1CD7"/>
    <w:rsid w:val="0FE73EE9"/>
    <w:rsid w:val="12A61E39"/>
    <w:rsid w:val="151E03AD"/>
    <w:rsid w:val="176C20F1"/>
    <w:rsid w:val="1AFD0A64"/>
    <w:rsid w:val="1DCB0C02"/>
    <w:rsid w:val="1FCA08AE"/>
    <w:rsid w:val="20934E4C"/>
    <w:rsid w:val="215366BD"/>
    <w:rsid w:val="21B707EA"/>
    <w:rsid w:val="21BC0039"/>
    <w:rsid w:val="2B6F150A"/>
    <w:rsid w:val="34362BC5"/>
    <w:rsid w:val="34E46AC5"/>
    <w:rsid w:val="37427AD3"/>
    <w:rsid w:val="3AFD77D0"/>
    <w:rsid w:val="3DB51D3A"/>
    <w:rsid w:val="3EC074E1"/>
    <w:rsid w:val="4629403F"/>
    <w:rsid w:val="499C3073"/>
    <w:rsid w:val="4A447BF3"/>
    <w:rsid w:val="4C0E48E1"/>
    <w:rsid w:val="4E3166D6"/>
    <w:rsid w:val="51B82A14"/>
    <w:rsid w:val="5217598C"/>
    <w:rsid w:val="55384597"/>
    <w:rsid w:val="58FE14C1"/>
    <w:rsid w:val="5BC8419B"/>
    <w:rsid w:val="5BE51531"/>
    <w:rsid w:val="5C245875"/>
    <w:rsid w:val="60CD6BC7"/>
    <w:rsid w:val="611046CB"/>
    <w:rsid w:val="63A10E1B"/>
    <w:rsid w:val="63BD79C4"/>
    <w:rsid w:val="6B985938"/>
    <w:rsid w:val="70741DA4"/>
    <w:rsid w:val="7169251F"/>
    <w:rsid w:val="717D3E17"/>
    <w:rsid w:val="74F636CF"/>
    <w:rsid w:val="76D06C9B"/>
    <w:rsid w:val="76E25CB9"/>
    <w:rsid w:val="7AAA4392"/>
    <w:rsid w:val="7B62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2638</Words>
  <Characters>2724</Characters>
  <Lines>0</Lines>
  <Paragraphs>0</Paragraphs>
  <TotalTime>0</TotalTime>
  <ScaleCrop>false</ScaleCrop>
  <LinksUpToDate>false</LinksUpToDate>
  <CharactersWithSpaces>2772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2019-11-29T01:56:00Z</dcterms:created>
  <dc:creator>酌酒当哥:D档</dc:creator>
  <cp:lastModifiedBy>L.</cp:lastModifiedBy>
  <dcterms:modified xsi:type="dcterms:W3CDTF">2025-01-21T03:00:40Z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D86BD526B3574DD38BDF922713E2884D_13</vt:lpwstr>
  </property>
  <property fmtid="{D5CDD505-2E9C-101B-9397-08002B2CF9AE}" pid="4" name="KSOTemplateDocerSaveRecord">
    <vt:lpwstr>eyJoZGlkIjoiZjFmZWIzNDg2MmIzZjExOTIzMmViNTBmYTMwYTk0ZWYiLCJ1c2VySWQiOiI1NzI4MTY1NDAifQ==</vt:lpwstr>
  </property>
</Properties>
</file>