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pPr>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2023年南关区教育局</w:t>
      </w:r>
      <w:r>
        <w:rPr>
          <w:rFonts w:hint="eastAsia" w:ascii="宋体" w:hAnsi="宋体" w:eastAsia="宋体" w:cs="宋体"/>
          <w:b/>
          <w:bCs/>
          <w:sz w:val="36"/>
          <w:szCs w:val="36"/>
        </w:rPr>
        <w:t>政府信息公开工作年度报告</w:t>
      </w:r>
    </w:p>
    <w:p>
      <w:pPr>
        <w:ind w:firstLine="480" w:firstLineChars="200"/>
        <w:rPr>
          <w:rFonts w:hint="eastAsia" w:ascii="宋体" w:hAnsi="宋体" w:eastAsia="宋体" w:cs="宋体"/>
          <w:sz w:val="24"/>
          <w:szCs w:val="24"/>
        </w:rPr>
      </w:pPr>
    </w:p>
    <w:p>
      <w:pPr>
        <w:ind w:firstLine="480" w:firstLineChars="200"/>
        <w:rPr>
          <w:rFonts w:hint="eastAsia" w:ascii="宋体" w:hAnsi="宋体" w:eastAsia="宋体" w:cs="宋体"/>
          <w:i w:val="0"/>
          <w:iCs w:val="0"/>
          <w:caps w:val="0"/>
          <w:color w:val="000000"/>
          <w:spacing w:val="0"/>
          <w:sz w:val="24"/>
          <w:szCs w:val="24"/>
          <w:shd w:val="clear" w:fill="FFFFFF"/>
        </w:rPr>
      </w:pPr>
      <w:r>
        <w:rPr>
          <w:rFonts w:hint="eastAsia" w:ascii="宋体" w:hAnsi="宋体" w:eastAsia="宋体" w:cs="宋体"/>
          <w:i w:val="0"/>
          <w:iCs w:val="0"/>
          <w:caps w:val="0"/>
          <w:color w:val="000000"/>
          <w:spacing w:val="0"/>
          <w:sz w:val="24"/>
          <w:szCs w:val="24"/>
          <w:shd w:val="clear" w:fill="FFFFFF"/>
        </w:rPr>
        <w:t>本年度报告根据《中华人民共和国政府信息公开条例》(以下简称《条例》)的有关规定编制，报告内容由总体情况、主动公开政府信息情况、收到和处理政府信息公开申请情况、政府信息公开行政复议、行政诉讼情况、存在的主要问题及改进情况、其他需要报告的事项六个部分。本报告中所列数据的统计期限自202</w:t>
      </w:r>
      <w:r>
        <w:rPr>
          <w:rFonts w:hint="eastAsia" w:ascii="宋体" w:hAnsi="宋体" w:eastAsia="宋体" w:cs="宋体"/>
          <w:i w:val="0"/>
          <w:iCs w:val="0"/>
          <w:caps w:val="0"/>
          <w:color w:val="000000"/>
          <w:spacing w:val="0"/>
          <w:sz w:val="24"/>
          <w:szCs w:val="24"/>
          <w:shd w:val="clear" w:fill="FFFFFF"/>
          <w:lang w:val="en-US" w:eastAsia="zh-CN"/>
        </w:rPr>
        <w:t>3</w:t>
      </w:r>
      <w:r>
        <w:rPr>
          <w:rFonts w:hint="eastAsia" w:ascii="宋体" w:hAnsi="宋体" w:eastAsia="宋体" w:cs="宋体"/>
          <w:i w:val="0"/>
          <w:iCs w:val="0"/>
          <w:caps w:val="0"/>
          <w:color w:val="000000"/>
          <w:spacing w:val="0"/>
          <w:sz w:val="24"/>
          <w:szCs w:val="24"/>
          <w:shd w:val="clear" w:fill="FFFFFF"/>
        </w:rPr>
        <w:t>年1月1日起至202</w:t>
      </w:r>
      <w:r>
        <w:rPr>
          <w:rFonts w:hint="eastAsia" w:ascii="宋体" w:hAnsi="宋体" w:eastAsia="宋体" w:cs="宋体"/>
          <w:i w:val="0"/>
          <w:iCs w:val="0"/>
          <w:caps w:val="0"/>
          <w:color w:val="000000"/>
          <w:spacing w:val="0"/>
          <w:sz w:val="24"/>
          <w:szCs w:val="24"/>
          <w:shd w:val="clear" w:fill="FFFFFF"/>
          <w:lang w:val="en-US" w:eastAsia="zh-CN"/>
        </w:rPr>
        <w:t>3</w:t>
      </w:r>
      <w:r>
        <w:rPr>
          <w:rFonts w:hint="eastAsia" w:ascii="宋体" w:hAnsi="宋体" w:eastAsia="宋体" w:cs="宋体"/>
          <w:i w:val="0"/>
          <w:iCs w:val="0"/>
          <w:caps w:val="0"/>
          <w:color w:val="000000"/>
          <w:spacing w:val="0"/>
          <w:sz w:val="24"/>
          <w:szCs w:val="24"/>
          <w:shd w:val="clear" w:fill="FFFFFF"/>
        </w:rPr>
        <w:t>年12月31日止。本报告电子版可在“长春市南关区人民政府”门户网站下载。受理机构为长春市南关区教育局行政办公室。办公地址：长春市</w:t>
      </w:r>
      <w:r>
        <w:rPr>
          <w:rFonts w:hint="eastAsia" w:ascii="宋体" w:hAnsi="宋体" w:eastAsia="宋体" w:cs="宋体"/>
          <w:i w:val="0"/>
          <w:iCs w:val="0"/>
          <w:caps w:val="0"/>
          <w:color w:val="000000"/>
          <w:spacing w:val="0"/>
          <w:sz w:val="24"/>
          <w:szCs w:val="24"/>
          <w:shd w:val="clear" w:fill="FFFFFF"/>
          <w:lang w:val="en-US" w:eastAsia="zh-CN"/>
        </w:rPr>
        <w:t>南关区建民街与南四环路交叉口西南180米</w:t>
      </w:r>
      <w:r>
        <w:rPr>
          <w:rFonts w:hint="eastAsia" w:ascii="宋体" w:hAnsi="宋体" w:eastAsia="宋体" w:cs="宋体"/>
          <w:i w:val="0"/>
          <w:iCs w:val="0"/>
          <w:caps w:val="0"/>
          <w:color w:val="000000"/>
          <w:spacing w:val="0"/>
          <w:sz w:val="24"/>
          <w:szCs w:val="24"/>
          <w:shd w:val="clear" w:fill="FFFFFF"/>
        </w:rPr>
        <w:t>；咨询电话：88912802；邮政编码：130000。</w:t>
      </w:r>
    </w:p>
    <w:p>
      <w:pPr>
        <w:ind w:firstLine="482" w:firstLineChars="200"/>
        <w:rPr>
          <w:rFonts w:ascii="宋体" w:hAnsi="宋体" w:eastAsia="宋体" w:cs="宋体"/>
          <w:b/>
          <w:bCs/>
          <w:sz w:val="24"/>
          <w:szCs w:val="24"/>
        </w:rPr>
      </w:pPr>
      <w:r>
        <w:rPr>
          <w:rFonts w:hint="eastAsia" w:ascii="宋体" w:hAnsi="宋体" w:eastAsia="宋体" w:cs="宋体"/>
          <w:b/>
          <w:bCs/>
          <w:sz w:val="24"/>
          <w:szCs w:val="24"/>
        </w:rPr>
        <w:t>一、总体情况</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2023</w:t>
      </w:r>
      <w:r>
        <w:rPr>
          <w:rFonts w:hint="eastAsia" w:ascii="宋体" w:hAnsi="宋体" w:eastAsia="宋体" w:cs="宋体"/>
          <w:sz w:val="24"/>
          <w:szCs w:val="24"/>
        </w:rPr>
        <w:t>年，我局深入贯彻落实《条例》</w:t>
      </w:r>
      <w:r>
        <w:rPr>
          <w:rFonts w:hint="eastAsia" w:ascii="宋体" w:hAnsi="宋体" w:eastAsia="宋体" w:cs="宋体"/>
          <w:sz w:val="24"/>
          <w:szCs w:val="24"/>
          <w:lang w:eastAsia="zh-CN"/>
        </w:rPr>
        <w:t>的</w:t>
      </w:r>
      <w:r>
        <w:rPr>
          <w:rFonts w:hint="eastAsia" w:ascii="宋体" w:hAnsi="宋体" w:eastAsia="宋体" w:cs="宋体"/>
          <w:sz w:val="24"/>
          <w:szCs w:val="24"/>
        </w:rPr>
        <w:t>法规要求，积极推进政府信息公开工作，增强信息公开工作的主动性、有效性，政府信息公开各项措施卓有成效。</w:t>
      </w:r>
    </w:p>
    <w:p>
      <w:pPr>
        <w:numPr>
          <w:ilvl w:val="0"/>
          <w:numId w:val="1"/>
        </w:numPr>
        <w:ind w:firstLine="480" w:firstLineChars="200"/>
        <w:rPr>
          <w:rFonts w:hint="eastAsia" w:ascii="宋体" w:hAnsi="宋体" w:eastAsia="宋体" w:cs="宋体"/>
          <w:sz w:val="24"/>
          <w:szCs w:val="24"/>
        </w:rPr>
      </w:pPr>
      <w:r>
        <w:rPr>
          <w:rFonts w:hint="eastAsia" w:ascii="宋体" w:hAnsi="宋体" w:eastAsia="宋体" w:cs="宋体"/>
          <w:sz w:val="24"/>
          <w:szCs w:val="24"/>
        </w:rPr>
        <w:t>组织推动政府信息公开工作。</w:t>
      </w:r>
      <w:r>
        <w:rPr>
          <w:rFonts w:hint="eastAsia" w:ascii="宋体" w:hAnsi="宋体" w:eastAsia="宋体" w:cs="宋体"/>
          <w:sz w:val="24"/>
          <w:szCs w:val="24"/>
          <w:lang w:val="en-US" w:eastAsia="zh-CN"/>
        </w:rPr>
        <w:t>2023年年初，在制定《2023年教育局重点工作》时</w:t>
      </w:r>
      <w:r>
        <w:rPr>
          <w:rFonts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val="en-US" w:eastAsia="zh-CN"/>
        </w:rPr>
        <w:t>将</w:t>
      </w:r>
      <w:r>
        <w:rPr>
          <w:rFonts w:ascii="宋体" w:hAnsi="宋体" w:eastAsia="宋体" w:cs="宋体"/>
          <w:i w:val="0"/>
          <w:iCs w:val="0"/>
          <w:caps w:val="0"/>
          <w:color w:val="000000"/>
          <w:spacing w:val="0"/>
          <w:sz w:val="24"/>
          <w:szCs w:val="24"/>
          <w:shd w:val="clear" w:fill="FFFFFF"/>
        </w:rPr>
        <w:t>政府信息公开纳入</w:t>
      </w:r>
      <w:r>
        <w:rPr>
          <w:rFonts w:hint="eastAsia" w:ascii="宋体" w:hAnsi="宋体" w:eastAsia="宋体" w:cs="宋体"/>
          <w:i w:val="0"/>
          <w:iCs w:val="0"/>
          <w:caps w:val="0"/>
          <w:color w:val="000000"/>
          <w:spacing w:val="0"/>
          <w:sz w:val="24"/>
          <w:szCs w:val="24"/>
          <w:shd w:val="clear" w:fill="FFFFFF"/>
          <w:lang w:eastAsia="zh-CN"/>
        </w:rPr>
        <w:t>了</w:t>
      </w:r>
      <w:r>
        <w:rPr>
          <w:rFonts w:ascii="宋体" w:hAnsi="宋体" w:eastAsia="宋体" w:cs="宋体"/>
          <w:i w:val="0"/>
          <w:iCs w:val="0"/>
          <w:caps w:val="0"/>
          <w:color w:val="000000"/>
          <w:spacing w:val="0"/>
          <w:sz w:val="24"/>
          <w:szCs w:val="24"/>
          <w:shd w:val="clear" w:fill="FFFFFF"/>
        </w:rPr>
        <w:t>全年</w:t>
      </w:r>
      <w:r>
        <w:rPr>
          <w:rFonts w:hint="eastAsia" w:ascii="宋体" w:hAnsi="宋体" w:eastAsia="宋体" w:cs="宋体"/>
          <w:i w:val="0"/>
          <w:iCs w:val="0"/>
          <w:caps w:val="0"/>
          <w:color w:val="000000"/>
          <w:spacing w:val="0"/>
          <w:sz w:val="24"/>
          <w:szCs w:val="24"/>
          <w:shd w:val="clear" w:fill="FFFFFF"/>
          <w:lang w:val="en-US" w:eastAsia="zh-CN"/>
        </w:rPr>
        <w:t>重点</w:t>
      </w:r>
      <w:r>
        <w:rPr>
          <w:rFonts w:ascii="宋体" w:hAnsi="宋体" w:eastAsia="宋体" w:cs="宋体"/>
          <w:i w:val="0"/>
          <w:iCs w:val="0"/>
          <w:caps w:val="0"/>
          <w:color w:val="000000"/>
          <w:spacing w:val="0"/>
          <w:sz w:val="24"/>
          <w:szCs w:val="24"/>
          <w:shd w:val="clear" w:fill="FFFFFF"/>
        </w:rPr>
        <w:t>工作计划中。通过建立完善一系列工作机制，强化网站内容保障。按照“谁审查、谁负责”原则，严格落实工作人员初审、科室领导审核、分管领导审发的上网信息“三审</w:t>
      </w:r>
      <w:r>
        <w:rPr>
          <w:rFonts w:hint="eastAsia" w:ascii="宋体" w:hAnsi="宋体" w:eastAsia="宋体" w:cs="宋体"/>
          <w:i w:val="0"/>
          <w:iCs w:val="0"/>
          <w:caps w:val="0"/>
          <w:color w:val="000000"/>
          <w:spacing w:val="0"/>
          <w:sz w:val="24"/>
          <w:szCs w:val="24"/>
          <w:shd w:val="clear" w:fill="FFFFFF"/>
          <w:lang w:val="en-US" w:eastAsia="zh-CN"/>
        </w:rPr>
        <w:t>三校</w:t>
      </w:r>
      <w:r>
        <w:rPr>
          <w:rFonts w:ascii="宋体" w:hAnsi="宋体" w:eastAsia="宋体" w:cs="宋体"/>
          <w:i w:val="0"/>
          <w:iCs w:val="0"/>
          <w:caps w:val="0"/>
          <w:color w:val="000000"/>
          <w:spacing w:val="0"/>
          <w:sz w:val="24"/>
          <w:szCs w:val="24"/>
          <w:shd w:val="clear" w:fill="FFFFFF"/>
        </w:rPr>
        <w:t>”制度，明确各环节工作职责和责任人员。严格落实信息发布前审核审查制度，未经审核信息一律不准发布。要求信息报送人员严格遵守政府信息公开审批程序，做到涉密信息不上网，上网信息不涉密，确保信息公开依法合规。</w:t>
      </w:r>
    </w:p>
    <w:p>
      <w:pPr>
        <w:numPr>
          <w:ilvl w:val="0"/>
          <w:numId w:val="1"/>
        </w:num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积极推动政府信息主动公开。</w:t>
      </w:r>
      <w:r>
        <w:rPr>
          <w:rFonts w:hint="eastAsia" w:ascii="宋体" w:hAnsi="宋体" w:eastAsia="宋体" w:cs="宋体"/>
          <w:sz w:val="24"/>
          <w:szCs w:val="24"/>
          <w:lang w:val="en-US" w:eastAsia="zh-CN"/>
        </w:rPr>
        <w:t>教育局</w:t>
      </w:r>
      <w:r>
        <w:rPr>
          <w:rFonts w:ascii="宋体" w:hAnsi="宋体" w:eastAsia="宋体" w:cs="宋体"/>
          <w:i w:val="0"/>
          <w:iCs w:val="0"/>
          <w:caps w:val="0"/>
          <w:color w:val="000000"/>
          <w:spacing w:val="0"/>
          <w:sz w:val="24"/>
          <w:szCs w:val="24"/>
          <w:shd w:val="clear" w:fill="FFFFFF"/>
        </w:rPr>
        <w:t>按照“以公开为常态，不公开为例外”的总体要求，遵循公正、公平、合法、便民的原则</w:t>
      </w:r>
      <w:r>
        <w:rPr>
          <w:rFonts w:hint="eastAsia" w:ascii="宋体" w:hAnsi="宋体" w:eastAsia="宋体" w:cs="宋体"/>
          <w:i w:val="0"/>
          <w:iCs w:val="0"/>
          <w:caps w:val="0"/>
          <w:color w:val="000000"/>
          <w:spacing w:val="0"/>
          <w:sz w:val="24"/>
          <w:szCs w:val="24"/>
          <w:shd w:val="clear" w:fill="FFFFFF"/>
          <w:lang w:eastAsia="zh-CN"/>
        </w:rPr>
        <w:t>，</w:t>
      </w:r>
      <w:r>
        <w:rPr>
          <w:rFonts w:ascii="宋体" w:hAnsi="宋体" w:eastAsia="宋体" w:cs="宋体"/>
          <w:i w:val="0"/>
          <w:iCs w:val="0"/>
          <w:caps w:val="0"/>
          <w:color w:val="000000"/>
          <w:spacing w:val="0"/>
          <w:sz w:val="24"/>
          <w:szCs w:val="24"/>
          <w:shd w:val="clear" w:fill="FFFFFF"/>
        </w:rPr>
        <w:t>全面推进政府信息公开。坚持把深化政务公开作为依法行政和增加政府工作透明度的重要途径，提高了全局上下对信息公开工作的重视程度和认识水平。</w:t>
      </w:r>
    </w:p>
    <w:p>
      <w:pPr>
        <w:numPr>
          <w:ilvl w:val="0"/>
          <w:numId w:val="1"/>
        </w:numPr>
        <w:ind w:left="0" w:leftChars="0" w:firstLine="480" w:firstLineChars="200"/>
        <w:rPr>
          <w:rFonts w:ascii="宋体" w:hAnsi="宋体" w:eastAsia="宋体" w:cs="宋体"/>
          <w:i w:val="0"/>
          <w:iCs w:val="0"/>
          <w:caps w:val="0"/>
          <w:color w:val="000000"/>
          <w:spacing w:val="0"/>
          <w:sz w:val="24"/>
          <w:szCs w:val="24"/>
          <w:shd w:val="clear" w:fill="FFFFFF"/>
        </w:rPr>
      </w:pPr>
      <w:r>
        <w:rPr>
          <w:rFonts w:hint="eastAsia" w:ascii="宋体" w:hAnsi="宋体" w:eastAsia="宋体" w:cs="宋体"/>
          <w:sz w:val="24"/>
          <w:szCs w:val="24"/>
        </w:rPr>
        <w:t>认真规范处理依申请公开。</w:t>
      </w:r>
      <w:r>
        <w:rPr>
          <w:rFonts w:ascii="宋体" w:hAnsi="宋体" w:eastAsia="宋体" w:cs="宋体"/>
          <w:i w:val="0"/>
          <w:iCs w:val="0"/>
          <w:caps w:val="0"/>
          <w:color w:val="000000"/>
          <w:spacing w:val="0"/>
          <w:sz w:val="24"/>
          <w:szCs w:val="24"/>
          <w:shd w:val="clear" w:fill="FFFFFF"/>
        </w:rPr>
        <w:t>进一步强化</w:t>
      </w:r>
      <w:r>
        <w:rPr>
          <w:rFonts w:hint="eastAsia" w:ascii="宋体" w:hAnsi="宋体" w:eastAsia="宋体" w:cs="宋体"/>
          <w:i w:val="0"/>
          <w:iCs w:val="0"/>
          <w:caps w:val="0"/>
          <w:color w:val="000000"/>
          <w:spacing w:val="0"/>
          <w:sz w:val="24"/>
          <w:szCs w:val="24"/>
          <w:shd w:val="clear" w:fill="FFFFFF"/>
          <w:lang w:val="en-US" w:eastAsia="zh-CN"/>
        </w:rPr>
        <w:t>教育</w:t>
      </w:r>
      <w:r>
        <w:rPr>
          <w:rFonts w:ascii="宋体" w:hAnsi="宋体" w:eastAsia="宋体" w:cs="宋体"/>
          <w:i w:val="0"/>
          <w:iCs w:val="0"/>
          <w:caps w:val="0"/>
          <w:color w:val="000000"/>
          <w:spacing w:val="0"/>
          <w:sz w:val="24"/>
          <w:szCs w:val="24"/>
          <w:shd w:val="clear" w:fill="FFFFFF"/>
        </w:rPr>
        <w:t>局政府信息公开申请接收、登记、办理、审核、答复、归档等各个环节的制度规范，简化办事程序，落实办理责任。</w:t>
      </w:r>
    </w:p>
    <w:p>
      <w:pPr>
        <w:numPr>
          <w:ilvl w:val="0"/>
          <w:numId w:val="0"/>
        </w:numPr>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（四）不断强化政府信息公开平台内容保障。加强内部监督，将政务公开纳入年度考核，责任细化到各科室，及时了解公开工作进展情况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遇到</w:t>
      </w:r>
      <w:r>
        <w:rPr>
          <w:rFonts w:hint="eastAsia" w:ascii="宋体" w:hAnsi="宋体" w:eastAsia="宋体" w:cs="宋体"/>
          <w:sz w:val="24"/>
          <w:szCs w:val="24"/>
        </w:rPr>
        <w:t>问题及时整改，质量不断提高。</w:t>
      </w:r>
    </w:p>
    <w:p>
      <w:pPr>
        <w:ind w:firstLine="482" w:firstLineChars="200"/>
        <w:rPr>
          <w:rFonts w:ascii="宋体" w:hAnsi="宋体" w:eastAsia="宋体" w:cs="宋体"/>
          <w:b/>
          <w:bCs/>
          <w:sz w:val="24"/>
          <w:szCs w:val="24"/>
        </w:rPr>
      </w:pPr>
      <w:r>
        <w:rPr>
          <w:rFonts w:hint="eastAsia" w:ascii="宋体" w:hAnsi="宋体" w:eastAsia="宋体" w:cs="宋体"/>
          <w:b/>
          <w:bCs/>
          <w:sz w:val="24"/>
          <w:szCs w:val="24"/>
        </w:rPr>
        <w:t>二、主动公开政府信息情况</w:t>
      </w:r>
    </w:p>
    <w:tbl>
      <w:tblPr>
        <w:tblStyle w:val="5"/>
        <w:tblW w:w="9014" w:type="dxa"/>
        <w:jc w:val="center"/>
        <w:tblLayout w:type="fixed"/>
        <w:tblCellMar>
          <w:top w:w="0" w:type="dxa"/>
          <w:left w:w="0" w:type="dxa"/>
          <w:bottom w:w="0" w:type="dxa"/>
          <w:right w:w="0" w:type="dxa"/>
        </w:tblCellMar>
      </w:tblPr>
      <w:tblGrid>
        <w:gridCol w:w="2461"/>
        <w:gridCol w:w="2184"/>
        <w:gridCol w:w="2184"/>
        <w:gridCol w:w="2185"/>
      </w:tblGrid>
      <w:tr>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现行有效件数</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r>
      <w:tr>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pPr>
        <w:numPr>
          <w:ilvl w:val="0"/>
          <w:numId w:val="2"/>
        </w:numPr>
        <w:ind w:firstLine="482" w:firstLineChars="200"/>
        <w:rPr>
          <w:rFonts w:ascii="宋体" w:hAnsi="宋体" w:eastAsia="宋体" w:cs="宋体"/>
          <w:b/>
          <w:bCs/>
          <w:sz w:val="24"/>
          <w:szCs w:val="24"/>
        </w:rPr>
      </w:pPr>
      <w:r>
        <w:rPr>
          <w:rFonts w:hint="eastAsia" w:ascii="宋体" w:hAnsi="宋体" w:eastAsia="宋体" w:cs="宋体"/>
          <w:b/>
          <w:bCs/>
          <w:sz w:val="24"/>
          <w:szCs w:val="24"/>
        </w:rPr>
        <w:t>收到和处理政府信息公开申请情况</w:t>
      </w:r>
    </w:p>
    <w:tbl>
      <w:tblPr>
        <w:tblStyle w:val="6"/>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15"/>
        <w:gridCol w:w="2651"/>
        <w:gridCol w:w="685"/>
        <w:gridCol w:w="696"/>
        <w:gridCol w:w="729"/>
        <w:gridCol w:w="707"/>
        <w:gridCol w:w="762"/>
        <w:gridCol w:w="685"/>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119" w:type="dxa"/>
            <w:gridSpan w:val="3"/>
            <w:vMerge w:val="restart"/>
            <w:vAlign w:val="center"/>
          </w:tcPr>
          <w:p>
            <w:pPr>
              <w:jc w:val="center"/>
              <w:rPr>
                <w:rFonts w:ascii="宋体" w:hAnsi="宋体" w:eastAsia="宋体" w:cs="宋体"/>
                <w:b/>
                <w:bCs/>
                <w:sz w:val="24"/>
                <w:szCs w:val="24"/>
              </w:rPr>
            </w:pPr>
            <w:r>
              <w:rPr>
                <w:rFonts w:ascii="楷体" w:hAnsi="楷体" w:eastAsia="楷体" w:cs="楷体"/>
                <w:kern w:val="0"/>
                <w:sz w:val="20"/>
                <w:szCs w:val="20"/>
                <w:lang w:bidi="ar"/>
              </w:rPr>
              <w:t>（本列数据的勾稽关系为：第一项加第二项之和，等于第三项加第四项之和）</w:t>
            </w:r>
          </w:p>
        </w:tc>
        <w:tc>
          <w:tcPr>
            <w:tcW w:w="4895" w:type="dxa"/>
            <w:gridSpan w:val="7"/>
            <w:vAlign w:val="center"/>
          </w:tcPr>
          <w:p>
            <w:pPr>
              <w:jc w:val="center"/>
              <w:rPr>
                <w:rFonts w:ascii="宋体" w:hAnsi="宋体" w:eastAsia="宋体" w:cs="宋体"/>
                <w:b/>
                <w:bCs/>
                <w:sz w:val="24"/>
                <w:szCs w:val="24"/>
              </w:rPr>
            </w:pPr>
            <w:r>
              <w:rPr>
                <w:rFonts w:hint="eastAsia" w:ascii="宋体" w:hAnsi="宋体" w:eastAsia="宋体" w:cs="宋体"/>
                <w:kern w:val="0"/>
                <w:sz w:val="20"/>
                <w:szCs w:val="20"/>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19" w:type="dxa"/>
            <w:gridSpan w:val="3"/>
            <w:vMerge w:val="continue"/>
          </w:tcPr>
          <w:p>
            <w:pPr>
              <w:rPr>
                <w:rFonts w:ascii="宋体" w:hAnsi="宋体" w:eastAsia="宋体" w:cs="宋体"/>
                <w:b/>
                <w:bCs/>
                <w:sz w:val="24"/>
                <w:szCs w:val="24"/>
              </w:rPr>
            </w:pPr>
          </w:p>
        </w:tc>
        <w:tc>
          <w:tcPr>
            <w:tcW w:w="685" w:type="dxa"/>
            <w:vMerge w:val="restart"/>
            <w:vAlign w:val="center"/>
          </w:tcPr>
          <w:p>
            <w:pPr>
              <w:jc w:val="center"/>
              <w:rPr>
                <w:rFonts w:ascii="宋体" w:hAnsi="宋体" w:eastAsia="宋体" w:cs="宋体"/>
                <w:b/>
                <w:bCs/>
                <w:sz w:val="24"/>
                <w:szCs w:val="24"/>
              </w:rPr>
            </w:pPr>
            <w:r>
              <w:rPr>
                <w:rFonts w:hint="eastAsia" w:ascii="宋体" w:hAnsi="宋体" w:eastAsia="宋体" w:cs="宋体"/>
                <w:kern w:val="0"/>
                <w:sz w:val="20"/>
                <w:szCs w:val="20"/>
                <w:lang w:bidi="ar"/>
              </w:rPr>
              <w:t>自然人</w:t>
            </w:r>
          </w:p>
        </w:tc>
        <w:tc>
          <w:tcPr>
            <w:tcW w:w="3579" w:type="dxa"/>
            <w:gridSpan w:val="5"/>
            <w:vAlign w:val="center"/>
          </w:tcPr>
          <w:p>
            <w:pPr>
              <w:jc w:val="center"/>
              <w:rPr>
                <w:rFonts w:ascii="宋体" w:hAnsi="宋体" w:eastAsia="宋体" w:cs="宋体"/>
                <w:b/>
                <w:bCs/>
                <w:sz w:val="24"/>
                <w:szCs w:val="24"/>
              </w:rPr>
            </w:pPr>
            <w:r>
              <w:rPr>
                <w:rFonts w:hint="eastAsia" w:ascii="宋体" w:hAnsi="宋体" w:eastAsia="宋体" w:cs="宋体"/>
                <w:kern w:val="0"/>
                <w:sz w:val="20"/>
                <w:szCs w:val="20"/>
                <w:lang w:bidi="ar"/>
              </w:rPr>
              <w:t>法人或其他组织</w:t>
            </w:r>
          </w:p>
        </w:tc>
        <w:tc>
          <w:tcPr>
            <w:tcW w:w="631" w:type="dxa"/>
            <w:vMerge w:val="restart"/>
            <w:vAlign w:val="center"/>
          </w:tcPr>
          <w:p>
            <w:pPr>
              <w:jc w:val="center"/>
              <w:rPr>
                <w:rFonts w:ascii="宋体" w:hAnsi="宋体" w:eastAsia="宋体" w:cs="宋体"/>
                <w:b/>
                <w:bCs/>
                <w:sz w:val="24"/>
                <w:szCs w:val="24"/>
              </w:rPr>
            </w:pPr>
            <w:r>
              <w:rPr>
                <w:rFonts w:hint="eastAsia" w:ascii="宋体" w:hAnsi="宋体" w:eastAsia="宋体" w:cs="宋体"/>
                <w:kern w:val="0"/>
                <w:sz w:val="20"/>
                <w:szCs w:val="20"/>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9" w:type="dxa"/>
            <w:gridSpan w:val="3"/>
            <w:vMerge w:val="continue"/>
          </w:tcPr>
          <w:p>
            <w:pPr>
              <w:rPr>
                <w:rFonts w:ascii="宋体" w:hAnsi="宋体" w:eastAsia="宋体" w:cs="宋体"/>
                <w:b/>
                <w:bCs/>
                <w:sz w:val="24"/>
                <w:szCs w:val="24"/>
              </w:rPr>
            </w:pPr>
          </w:p>
        </w:tc>
        <w:tc>
          <w:tcPr>
            <w:tcW w:w="685" w:type="dxa"/>
            <w:vMerge w:val="continue"/>
          </w:tcPr>
          <w:p>
            <w:pPr>
              <w:rPr>
                <w:rFonts w:ascii="宋体" w:hAnsi="宋体" w:eastAsia="宋体" w:cs="宋体"/>
                <w:b/>
                <w:bCs/>
                <w:sz w:val="24"/>
                <w:szCs w:val="24"/>
              </w:rPr>
            </w:pPr>
          </w:p>
        </w:tc>
        <w:tc>
          <w:tcPr>
            <w:tcW w:w="696" w:type="dxa"/>
            <w:vAlign w:val="center"/>
          </w:tcPr>
          <w:p>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商业企业</w:t>
            </w:r>
          </w:p>
        </w:tc>
        <w:tc>
          <w:tcPr>
            <w:tcW w:w="729" w:type="dxa"/>
            <w:vAlign w:val="center"/>
          </w:tcPr>
          <w:p>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科研机构</w:t>
            </w:r>
          </w:p>
        </w:tc>
        <w:tc>
          <w:tcPr>
            <w:tcW w:w="707" w:type="dxa"/>
            <w:vAlign w:val="center"/>
          </w:tcPr>
          <w:p>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社会公益组织</w:t>
            </w:r>
          </w:p>
        </w:tc>
        <w:tc>
          <w:tcPr>
            <w:tcW w:w="762" w:type="dxa"/>
            <w:vAlign w:val="center"/>
          </w:tcPr>
          <w:p>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法律服务机构</w:t>
            </w:r>
          </w:p>
        </w:tc>
        <w:tc>
          <w:tcPr>
            <w:tcW w:w="685" w:type="dxa"/>
            <w:vAlign w:val="center"/>
          </w:tcPr>
          <w:p>
            <w:pPr>
              <w:widowControl/>
              <w:spacing w:line="12" w:lineRule="atLeast"/>
              <w:jc w:val="center"/>
              <w:rPr>
                <w:rFonts w:ascii="宋体" w:hAnsi="宋体" w:eastAsia="宋体" w:cs="宋体"/>
                <w:sz w:val="24"/>
                <w:szCs w:val="24"/>
              </w:rPr>
            </w:pPr>
            <w:r>
              <w:rPr>
                <w:rFonts w:hint="eastAsia" w:ascii="宋体" w:hAnsi="宋体" w:eastAsia="宋体" w:cs="宋体"/>
                <w:kern w:val="0"/>
                <w:sz w:val="20"/>
                <w:szCs w:val="20"/>
                <w:lang w:bidi="ar"/>
              </w:rPr>
              <w:t>其他</w:t>
            </w:r>
          </w:p>
        </w:tc>
        <w:tc>
          <w:tcPr>
            <w:tcW w:w="631" w:type="dxa"/>
            <w:vMerge w:val="continue"/>
          </w:tcPr>
          <w:p>
            <w:pPr>
              <w:rPr>
                <w:rFonts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119" w:type="dxa"/>
            <w:gridSpan w:val="3"/>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一、本年新收政府信息公开申请数量</w:t>
            </w:r>
          </w:p>
        </w:tc>
        <w:tc>
          <w:tcPr>
            <w:tcW w:w="685"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w:t>
            </w:r>
          </w:p>
        </w:tc>
        <w:tc>
          <w:tcPr>
            <w:tcW w:w="696"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119" w:type="dxa"/>
            <w:gridSpan w:val="3"/>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二、上年结转政府信息公开申请数量</w:t>
            </w:r>
          </w:p>
        </w:tc>
        <w:tc>
          <w:tcPr>
            <w:tcW w:w="685"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restart"/>
            <w:vAlign w:val="center"/>
          </w:tcPr>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hint="eastAsia" w:ascii="宋体" w:hAnsi="宋体" w:eastAsia="宋体" w:cs="宋体"/>
                <w:kern w:val="0"/>
                <w:sz w:val="20"/>
                <w:szCs w:val="20"/>
                <w:lang w:bidi="ar"/>
              </w:rPr>
            </w:pPr>
          </w:p>
          <w:p>
            <w:pPr>
              <w:widowControl/>
              <w:spacing w:line="12" w:lineRule="atLeast"/>
              <w:rPr>
                <w:rFonts w:ascii="宋体" w:hAnsi="宋体" w:eastAsia="宋体" w:cs="宋体"/>
                <w:b/>
                <w:bCs/>
                <w:sz w:val="24"/>
                <w:szCs w:val="24"/>
              </w:rPr>
            </w:pPr>
            <w:r>
              <w:rPr>
                <w:rFonts w:hint="eastAsia" w:ascii="宋体" w:hAnsi="宋体" w:eastAsia="宋体" w:cs="宋体"/>
                <w:kern w:val="0"/>
                <w:sz w:val="20"/>
                <w:szCs w:val="20"/>
                <w:lang w:bidi="ar"/>
              </w:rPr>
              <w:t>三、本年度办理结果</w:t>
            </w:r>
          </w:p>
        </w:tc>
        <w:tc>
          <w:tcPr>
            <w:tcW w:w="3466" w:type="dxa"/>
            <w:gridSpan w:val="2"/>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（一）予以公开</w:t>
            </w:r>
          </w:p>
        </w:tc>
        <w:tc>
          <w:tcPr>
            <w:tcW w:w="685"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c>
          <w:tcPr>
            <w:tcW w:w="696"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3466" w:type="dxa"/>
            <w:gridSpan w:val="2"/>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5"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p>
        </w:tc>
        <w:tc>
          <w:tcPr>
            <w:tcW w:w="696"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53" w:type="dxa"/>
            <w:vMerge w:val="continue"/>
          </w:tcPr>
          <w:p>
            <w:pPr>
              <w:rPr>
                <w:rFonts w:ascii="宋体" w:hAnsi="宋体" w:eastAsia="宋体" w:cs="宋体"/>
                <w:b/>
                <w:bCs/>
                <w:sz w:val="24"/>
                <w:szCs w:val="24"/>
              </w:rPr>
            </w:pPr>
          </w:p>
        </w:tc>
        <w:tc>
          <w:tcPr>
            <w:tcW w:w="815" w:type="dxa"/>
            <w:vMerge w:val="restart"/>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（三）不予公开</w:t>
            </w: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1.属于国家秘密</w:t>
            </w:r>
          </w:p>
        </w:tc>
        <w:tc>
          <w:tcPr>
            <w:tcW w:w="685"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2.其他法律行政法规禁止公开</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3.危及“三安全一稳定”</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4.保护第三方合法权益</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5.属于三类内部事务信息</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6.属于四类过程性信息</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7.属于行政执法案卷</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8.属于行政查询事项</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restart"/>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（四）无法提供</w:t>
            </w: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1.本机关不掌握相关政府信息</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2.没有现成信息需要另行制作</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3.补正后申请内容仍不明确</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3" w:type="dxa"/>
            <w:vMerge w:val="continue"/>
          </w:tcPr>
          <w:p>
            <w:pPr>
              <w:rPr>
                <w:rFonts w:ascii="宋体" w:hAnsi="宋体" w:eastAsia="宋体" w:cs="宋体"/>
                <w:b/>
                <w:bCs/>
                <w:sz w:val="24"/>
                <w:szCs w:val="24"/>
              </w:rPr>
            </w:pPr>
          </w:p>
        </w:tc>
        <w:tc>
          <w:tcPr>
            <w:tcW w:w="815" w:type="dxa"/>
            <w:vMerge w:val="restart"/>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（五）不予处理</w:t>
            </w:r>
          </w:p>
        </w:tc>
        <w:tc>
          <w:tcPr>
            <w:tcW w:w="2651" w:type="dxa"/>
            <w:vAlign w:val="center"/>
          </w:tcPr>
          <w:p>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1.信访举报投诉类申请</w:t>
            </w:r>
          </w:p>
        </w:tc>
        <w:tc>
          <w:tcPr>
            <w:tcW w:w="685"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2.重复申请</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3.要求提供公开出版物</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4.无正当理由大量反复申请</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continue"/>
            <w:vAlign w:val="center"/>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b/>
                <w:bCs/>
                <w:sz w:val="24"/>
                <w:szCs w:val="24"/>
              </w:rPr>
            </w:pPr>
            <w:r>
              <w:rPr>
                <w:rFonts w:hint="eastAsia" w:ascii="宋体" w:hAnsi="宋体" w:eastAsia="宋体" w:cs="宋体"/>
                <w:kern w:val="0"/>
                <w:sz w:val="20"/>
                <w:szCs w:val="20"/>
                <w:lang w:bidi="ar"/>
              </w:rPr>
              <w:t>5.要求行政机关确认或重新出具已获取信息</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restart"/>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（六）其他处理</w:t>
            </w: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1.申请人无正当理由逾期不补正、行政机关不再处理其政府信息公开申请</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2.申请人逾期未按收费通知要求缴纳费用、行政机关不再处理其政府信息公开申请</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53" w:type="dxa"/>
            <w:vMerge w:val="continue"/>
          </w:tcPr>
          <w:p>
            <w:pPr>
              <w:rPr>
                <w:rFonts w:ascii="宋体" w:hAnsi="宋体" w:eastAsia="宋体" w:cs="宋体"/>
                <w:b/>
                <w:bCs/>
                <w:sz w:val="24"/>
                <w:szCs w:val="24"/>
              </w:rPr>
            </w:pPr>
          </w:p>
        </w:tc>
        <w:tc>
          <w:tcPr>
            <w:tcW w:w="815" w:type="dxa"/>
            <w:vMerge w:val="continue"/>
          </w:tcPr>
          <w:p>
            <w:pPr>
              <w:rPr>
                <w:rFonts w:ascii="宋体" w:hAnsi="宋体" w:eastAsia="宋体" w:cs="宋体"/>
                <w:b/>
                <w:bCs/>
                <w:sz w:val="24"/>
                <w:szCs w:val="24"/>
              </w:rPr>
            </w:pPr>
          </w:p>
        </w:tc>
        <w:tc>
          <w:tcPr>
            <w:tcW w:w="2651" w:type="dxa"/>
            <w:vAlign w:val="center"/>
          </w:tcPr>
          <w:p>
            <w:pPr>
              <w:widowControl/>
              <w:spacing w:line="12" w:lineRule="atLeast"/>
              <w:jc w:val="left"/>
              <w:rPr>
                <w:rFonts w:ascii="宋体" w:hAnsi="宋体" w:eastAsia="宋体" w:cs="宋体"/>
                <w:sz w:val="24"/>
                <w:szCs w:val="24"/>
              </w:rPr>
            </w:pPr>
            <w:r>
              <w:rPr>
                <w:rFonts w:hint="eastAsia" w:ascii="宋体" w:hAnsi="宋体" w:eastAsia="宋体" w:cs="宋体"/>
                <w:kern w:val="0"/>
                <w:sz w:val="20"/>
                <w:szCs w:val="20"/>
                <w:lang w:bidi="ar"/>
              </w:rPr>
              <w:t>3.其他</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96" w:type="dxa"/>
            <w:vAlign w:val="center"/>
          </w:tcPr>
          <w:p>
            <w:pPr>
              <w:jc w:val="center"/>
              <w:rPr>
                <w:rFonts w:hint="default"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53" w:type="dxa"/>
            <w:vMerge w:val="continue"/>
          </w:tcPr>
          <w:p>
            <w:pPr>
              <w:rPr>
                <w:rFonts w:ascii="宋体" w:hAnsi="宋体" w:eastAsia="宋体" w:cs="宋体"/>
                <w:b/>
                <w:bCs/>
                <w:sz w:val="24"/>
                <w:szCs w:val="24"/>
              </w:rPr>
            </w:pPr>
          </w:p>
        </w:tc>
        <w:tc>
          <w:tcPr>
            <w:tcW w:w="3466" w:type="dxa"/>
            <w:gridSpan w:val="2"/>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（七）总计</w:t>
            </w:r>
          </w:p>
        </w:tc>
        <w:tc>
          <w:tcPr>
            <w:tcW w:w="685"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w:t>
            </w:r>
          </w:p>
        </w:tc>
        <w:tc>
          <w:tcPr>
            <w:tcW w:w="696"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119" w:type="dxa"/>
            <w:gridSpan w:val="3"/>
            <w:vAlign w:val="center"/>
          </w:tcPr>
          <w:p>
            <w:pPr>
              <w:rPr>
                <w:rFonts w:ascii="宋体" w:hAnsi="宋体" w:eastAsia="宋体" w:cs="宋体"/>
                <w:b/>
                <w:bCs/>
                <w:sz w:val="24"/>
                <w:szCs w:val="24"/>
              </w:rPr>
            </w:pPr>
            <w:r>
              <w:rPr>
                <w:rFonts w:hint="eastAsia" w:ascii="宋体" w:hAnsi="宋体" w:eastAsia="宋体" w:cs="宋体"/>
                <w:kern w:val="0"/>
                <w:sz w:val="20"/>
                <w:szCs w:val="20"/>
                <w:lang w:bidi="ar"/>
              </w:rPr>
              <w:t>四、结转下年度继续办理</w:t>
            </w:r>
          </w:p>
        </w:tc>
        <w:tc>
          <w:tcPr>
            <w:tcW w:w="685"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96"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29"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07"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762"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85"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c>
          <w:tcPr>
            <w:tcW w:w="631"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0</w:t>
            </w:r>
          </w:p>
        </w:tc>
      </w:tr>
    </w:tbl>
    <w:p>
      <w:pPr>
        <w:numPr>
          <w:ilvl w:val="0"/>
          <w:numId w:val="2"/>
        </w:numPr>
        <w:ind w:firstLine="482" w:firstLineChars="200"/>
        <w:rPr>
          <w:rFonts w:ascii="宋体" w:hAnsi="宋体" w:eastAsia="宋体" w:cs="宋体"/>
          <w:b/>
          <w:bCs/>
          <w:sz w:val="24"/>
          <w:szCs w:val="24"/>
        </w:rPr>
      </w:pPr>
      <w:r>
        <w:rPr>
          <w:rFonts w:hint="eastAsia" w:ascii="宋体" w:hAnsi="宋体" w:eastAsia="宋体" w:cs="宋体"/>
          <w:b/>
          <w:bCs/>
          <w:sz w:val="24"/>
          <w:szCs w:val="24"/>
        </w:rPr>
        <w:t>政府信息公开行政复议、行政诉讼情况</w:t>
      </w:r>
    </w:p>
    <w:tbl>
      <w:tblPr>
        <w:tblStyle w:val="5"/>
        <w:tblW w:w="9071" w:type="dxa"/>
        <w:jc w:val="center"/>
        <w:tblLayout w:type="autofit"/>
        <w:tblCellMar>
          <w:top w:w="0" w:type="dxa"/>
          <w:left w:w="0" w:type="dxa"/>
          <w:bottom w:w="0" w:type="dxa"/>
          <w:right w:w="0" w:type="dxa"/>
        </w:tblCellMar>
      </w:tblPr>
      <w:tblGrid>
        <w:gridCol w:w="599"/>
        <w:gridCol w:w="599"/>
        <w:gridCol w:w="599"/>
        <w:gridCol w:w="606"/>
        <w:gridCol w:w="600"/>
        <w:gridCol w:w="629"/>
        <w:gridCol w:w="600"/>
        <w:gridCol w:w="600"/>
        <w:gridCol w:w="618"/>
        <w:gridCol w:w="600"/>
        <w:gridCol w:w="600"/>
        <w:gridCol w:w="600"/>
        <w:gridCol w:w="607"/>
        <w:gridCol w:w="600"/>
        <w:gridCol w:w="614"/>
      </w:tblGrid>
      <w:tr>
        <w:trPr>
          <w:jc w:val="center"/>
        </w:trPr>
        <w:tc>
          <w:tcPr>
            <w:tcW w:w="302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行政复议</w:t>
            </w:r>
          </w:p>
        </w:tc>
        <w:tc>
          <w:tcPr>
            <w:tcW w:w="604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行政诉讼</w:t>
            </w:r>
          </w:p>
        </w:tc>
      </w:tr>
      <w:tr>
        <w:tblPrEx>
          <w:tblCellMar>
            <w:top w:w="0" w:type="dxa"/>
            <w:left w:w="0" w:type="dxa"/>
            <w:bottom w:w="0" w:type="dxa"/>
            <w:right w:w="0" w:type="dxa"/>
          </w:tblCellMar>
        </w:tblPrEx>
        <w:trPr>
          <w:jc w:val="center"/>
        </w:trPr>
        <w:tc>
          <w:tcPr>
            <w:tcW w:w="60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59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其他结果</w:t>
            </w:r>
          </w:p>
        </w:tc>
        <w:tc>
          <w:tcPr>
            <w:tcW w:w="615"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607"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总计</w:t>
            </w:r>
          </w:p>
        </w:tc>
        <w:tc>
          <w:tcPr>
            <w:tcW w:w="3042"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未经复议直接起诉</w:t>
            </w:r>
          </w:p>
        </w:tc>
        <w:tc>
          <w:tcPr>
            <w:tcW w:w="300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复议后起诉</w:t>
            </w:r>
          </w:p>
        </w:tc>
      </w:tr>
      <w:tr>
        <w:trPr>
          <w:jc w:val="center"/>
        </w:trPr>
        <w:tc>
          <w:tcPr>
            <w:tcW w:w="665" w:type="dxa"/>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592"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604"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615"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548" w:type="dxa"/>
            <w:vMerge w:val="continue"/>
            <w:tcBorders>
              <w:top w:val="single" w:color="auto" w:sz="8" w:space="0"/>
              <w:left w:val="nil"/>
              <w:bottom w:val="single" w:color="auto" w:sz="8" w:space="0"/>
              <w:right w:val="single" w:color="auto" w:sz="8" w:space="0"/>
            </w:tcBorders>
            <w:vAlign w:val="center"/>
          </w:tcPr>
          <w:p>
            <w:pPr>
              <w:widowControl/>
              <w:jc w:val="left"/>
              <w:rPr>
                <w:rFonts w:ascii="宋体" w:hAnsi="宋体" w:eastAsia="宋体" w:cs="宋体"/>
                <w:kern w:val="0"/>
                <w:sz w:val="18"/>
                <w:szCs w:val="18"/>
              </w:rPr>
            </w:pPr>
          </w:p>
        </w:tc>
        <w:tc>
          <w:tcPr>
            <w:tcW w:w="63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59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5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其他结果</w:t>
            </w:r>
          </w:p>
        </w:tc>
        <w:tc>
          <w:tcPr>
            <w:tcW w:w="62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59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总计</w:t>
            </w:r>
          </w:p>
        </w:tc>
        <w:tc>
          <w:tcPr>
            <w:tcW w:w="5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结果维持</w:t>
            </w:r>
          </w:p>
        </w:tc>
        <w:tc>
          <w:tcPr>
            <w:tcW w:w="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结果纠正</w:t>
            </w:r>
          </w:p>
        </w:tc>
        <w:tc>
          <w:tcPr>
            <w:tcW w:w="61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其他结果</w:t>
            </w:r>
          </w:p>
        </w:tc>
        <w:tc>
          <w:tcPr>
            <w:tcW w:w="5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尚未审结</w:t>
            </w:r>
          </w:p>
        </w:tc>
        <w:tc>
          <w:tcPr>
            <w:tcW w:w="62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18"/>
                <w:szCs w:val="18"/>
              </w:rPr>
            </w:pPr>
            <w:r>
              <w:rPr>
                <w:rFonts w:hint="eastAsia" w:ascii="宋体" w:hAnsi="宋体" w:eastAsia="宋体" w:cs="宋体"/>
                <w:color w:val="000000"/>
                <w:kern w:val="0"/>
                <w:sz w:val="18"/>
                <w:szCs w:val="18"/>
              </w:rPr>
              <w:t>总计</w:t>
            </w:r>
          </w:p>
        </w:tc>
      </w:tr>
      <w:tr>
        <w:tblPrEx>
          <w:tblCellMar>
            <w:top w:w="0" w:type="dxa"/>
            <w:left w:w="0" w:type="dxa"/>
            <w:bottom w:w="0" w:type="dxa"/>
            <w:right w:w="0" w:type="dxa"/>
          </w:tblCellMar>
        </w:tblPrEx>
        <w:trPr>
          <w:trHeight w:val="697" w:hRule="atLeast"/>
          <w:jc w:val="center"/>
        </w:trPr>
        <w:tc>
          <w:tcPr>
            <w:tcW w:w="6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60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r>
    </w:tbl>
    <w:p>
      <w:pPr>
        <w:ind w:firstLine="480" w:firstLineChars="200"/>
        <w:rPr>
          <w:rFonts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b/>
          <w:bCs/>
          <w:sz w:val="24"/>
          <w:szCs w:val="24"/>
        </w:rPr>
        <w:t>存在的主要问题及改进情况</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(一)认真梳理政务信息，进一步规范工作流程。我局将进一步梳理政务信息，对原有的政务信息公开目录进行补充完善，保证公开信息的完整性和准确性。</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(二)进一步完善</w:t>
      </w:r>
      <w:r>
        <w:rPr>
          <w:rFonts w:hint="eastAsia" w:ascii="宋体" w:hAnsi="宋体" w:eastAsia="宋体" w:cs="宋体"/>
          <w:sz w:val="24"/>
          <w:szCs w:val="24"/>
          <w:lang w:val="en-US" w:eastAsia="zh-CN"/>
        </w:rPr>
        <w:t>公众号的</w:t>
      </w:r>
      <w:r>
        <w:rPr>
          <w:rFonts w:hint="eastAsia" w:ascii="宋体" w:hAnsi="宋体" w:eastAsia="宋体" w:cs="宋体"/>
          <w:sz w:val="24"/>
          <w:szCs w:val="24"/>
        </w:rPr>
        <w:t>功能设置，整合资源，方便群众查询教育有关信息。</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(三)完善信息公开工作评测考核机制。进一步规范、细化政府信息公开工作检查考核制度，保证网站信息及时更新。</w:t>
      </w:r>
    </w:p>
    <w:p>
      <w:pPr>
        <w:ind w:firstLine="480" w:firstLineChars="200"/>
        <w:rPr>
          <w:rFonts w:ascii="宋体" w:hAnsi="宋体" w:eastAsia="宋体" w:cs="宋体"/>
          <w:sz w:val="24"/>
          <w:szCs w:val="24"/>
        </w:rPr>
      </w:pPr>
      <w:r>
        <w:rPr>
          <w:rFonts w:hint="eastAsia" w:ascii="宋体" w:hAnsi="宋体" w:eastAsia="宋体" w:cs="宋体"/>
          <w:sz w:val="24"/>
          <w:szCs w:val="24"/>
        </w:rPr>
        <w:t>(四)加强人员培训和工作交流，不断提高工作人员的综合素质和技术能力，提高信息公开工作水平。</w:t>
      </w:r>
    </w:p>
    <w:p>
      <w:pPr>
        <w:ind w:firstLine="482" w:firstLineChars="200"/>
        <w:rPr>
          <w:rFonts w:ascii="宋体" w:hAnsi="宋体" w:eastAsia="宋体" w:cs="宋体"/>
          <w:b/>
          <w:bCs/>
          <w:sz w:val="24"/>
          <w:szCs w:val="24"/>
        </w:rPr>
      </w:pPr>
      <w:r>
        <w:rPr>
          <w:rFonts w:hint="eastAsia" w:ascii="宋体" w:hAnsi="宋体" w:eastAsia="宋体" w:cs="宋体"/>
          <w:b/>
          <w:bCs/>
          <w:sz w:val="24"/>
          <w:szCs w:val="24"/>
        </w:rPr>
        <w:t>六、其他需要报告的事项</w:t>
      </w:r>
    </w:p>
    <w:p>
      <w:pPr>
        <w:numPr>
          <w:ilvl w:val="0"/>
          <w:numId w:val="0"/>
        </w:num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根据《政府信息公开信息处理费管理办法》相关规定，没有超出一定数量或频次范围，未收取信息处理费。</w:t>
      </w:r>
    </w:p>
    <w:p>
      <w:pPr>
        <w:ind w:firstLine="480" w:firstLineChars="200"/>
        <w:rPr>
          <w:rFonts w:hint="default" w:ascii="宋体" w:hAnsi="宋体" w:eastAsia="宋体" w:cs="宋体"/>
          <w:sz w:val="24"/>
          <w:szCs w:val="24"/>
          <w:lang w:val="en-US" w:eastAsia="zh-CN"/>
        </w:rPr>
      </w:pPr>
      <w:bookmarkStart w:id="0" w:name="_GoBack"/>
      <w:bookmarkEnd w:id="0"/>
    </w:p>
    <w:sectPr>
      <w:footerReference r:id="rId3" w:type="default"/>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919734"/>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EF55AA"/>
    <w:multiLevelType w:val="singleLevel"/>
    <w:tmpl w:val="44EF55AA"/>
    <w:lvl w:ilvl="0" w:tentative="0">
      <w:start w:val="1"/>
      <w:numFmt w:val="chineseCounting"/>
      <w:suff w:val="nothing"/>
      <w:lvlText w:val="（%1）"/>
      <w:lvlJc w:val="left"/>
      <w:rPr>
        <w:rFonts w:hint="eastAsia"/>
      </w:rPr>
    </w:lvl>
  </w:abstractNum>
  <w:abstractNum w:abstractNumId="1">
    <w:nsid w:val="704075A3"/>
    <w:multiLevelType w:val="singleLevel"/>
    <w:tmpl w:val="704075A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MmJmODRmMjk4MzIxZmIyZmY0MTcyOGYzODU5OTcifQ=="/>
  </w:docVars>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44258"/>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C4B26"/>
    <w:rsid w:val="00915401"/>
    <w:rsid w:val="00941A7B"/>
    <w:rsid w:val="009458D3"/>
    <w:rsid w:val="009601BA"/>
    <w:rsid w:val="009737BC"/>
    <w:rsid w:val="009E0E6F"/>
    <w:rsid w:val="00A04FB9"/>
    <w:rsid w:val="00A45231"/>
    <w:rsid w:val="00A7351A"/>
    <w:rsid w:val="00A76BD9"/>
    <w:rsid w:val="00A771E0"/>
    <w:rsid w:val="00AD6863"/>
    <w:rsid w:val="00B16D57"/>
    <w:rsid w:val="00B34B60"/>
    <w:rsid w:val="00B50AB5"/>
    <w:rsid w:val="00B751E4"/>
    <w:rsid w:val="00B83021"/>
    <w:rsid w:val="00B86BEF"/>
    <w:rsid w:val="00B93336"/>
    <w:rsid w:val="00BC6098"/>
    <w:rsid w:val="00C834FE"/>
    <w:rsid w:val="00CD1012"/>
    <w:rsid w:val="00CF3763"/>
    <w:rsid w:val="00D72931"/>
    <w:rsid w:val="00DC3320"/>
    <w:rsid w:val="00DF0BB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3615DE6"/>
    <w:rsid w:val="04B70161"/>
    <w:rsid w:val="05066EA2"/>
    <w:rsid w:val="064D5B0A"/>
    <w:rsid w:val="06A434A5"/>
    <w:rsid w:val="07F15616"/>
    <w:rsid w:val="0AC4028D"/>
    <w:rsid w:val="0B924A77"/>
    <w:rsid w:val="0D1C7438"/>
    <w:rsid w:val="0D9A07CB"/>
    <w:rsid w:val="0EF95E3E"/>
    <w:rsid w:val="0F841BAC"/>
    <w:rsid w:val="0FFF2C05"/>
    <w:rsid w:val="101A7A9C"/>
    <w:rsid w:val="10D94ED9"/>
    <w:rsid w:val="129640D0"/>
    <w:rsid w:val="12AB7BEB"/>
    <w:rsid w:val="13916BB7"/>
    <w:rsid w:val="16F67B0A"/>
    <w:rsid w:val="18DE0B8B"/>
    <w:rsid w:val="1BF24C7D"/>
    <w:rsid w:val="1D326A70"/>
    <w:rsid w:val="1EF47C7F"/>
    <w:rsid w:val="1F4E26E0"/>
    <w:rsid w:val="21463587"/>
    <w:rsid w:val="243F343F"/>
    <w:rsid w:val="24C83A72"/>
    <w:rsid w:val="28356406"/>
    <w:rsid w:val="28975D5D"/>
    <w:rsid w:val="2A3F4BF5"/>
    <w:rsid w:val="2AFE7BEA"/>
    <w:rsid w:val="2B25609B"/>
    <w:rsid w:val="2BC71311"/>
    <w:rsid w:val="2F1232C3"/>
    <w:rsid w:val="2F560859"/>
    <w:rsid w:val="2F56299D"/>
    <w:rsid w:val="31C902D1"/>
    <w:rsid w:val="345E7490"/>
    <w:rsid w:val="34707FB0"/>
    <w:rsid w:val="355E071A"/>
    <w:rsid w:val="36781544"/>
    <w:rsid w:val="371D10E5"/>
    <w:rsid w:val="381E12AF"/>
    <w:rsid w:val="38FD2077"/>
    <w:rsid w:val="393E5745"/>
    <w:rsid w:val="3B281EB3"/>
    <w:rsid w:val="3B291E3A"/>
    <w:rsid w:val="3BA453BA"/>
    <w:rsid w:val="3E620C74"/>
    <w:rsid w:val="3ED76D58"/>
    <w:rsid w:val="3FF019F1"/>
    <w:rsid w:val="400E44FB"/>
    <w:rsid w:val="41D16C02"/>
    <w:rsid w:val="450C3AC5"/>
    <w:rsid w:val="45333C19"/>
    <w:rsid w:val="45801017"/>
    <w:rsid w:val="49181DCF"/>
    <w:rsid w:val="492A6A34"/>
    <w:rsid w:val="49942410"/>
    <w:rsid w:val="4A02676F"/>
    <w:rsid w:val="4B7A359C"/>
    <w:rsid w:val="4BCC7E94"/>
    <w:rsid w:val="4D5301FB"/>
    <w:rsid w:val="4D6B16DA"/>
    <w:rsid w:val="4FAE66AC"/>
    <w:rsid w:val="51D907C9"/>
    <w:rsid w:val="524F43BC"/>
    <w:rsid w:val="52C45704"/>
    <w:rsid w:val="532A236B"/>
    <w:rsid w:val="56B07488"/>
    <w:rsid w:val="592605B1"/>
    <w:rsid w:val="59CF4E9D"/>
    <w:rsid w:val="5B51267D"/>
    <w:rsid w:val="5C760D5E"/>
    <w:rsid w:val="5FB4311A"/>
    <w:rsid w:val="608B5AEC"/>
    <w:rsid w:val="60C72177"/>
    <w:rsid w:val="61382CF4"/>
    <w:rsid w:val="614918DA"/>
    <w:rsid w:val="63907D7E"/>
    <w:rsid w:val="663C01D2"/>
    <w:rsid w:val="669B2BD8"/>
    <w:rsid w:val="66DD09B6"/>
    <w:rsid w:val="66EF5667"/>
    <w:rsid w:val="68EE3DB7"/>
    <w:rsid w:val="69895E31"/>
    <w:rsid w:val="69912B2A"/>
    <w:rsid w:val="6DA66DF4"/>
    <w:rsid w:val="6DB8406F"/>
    <w:rsid w:val="6F0E25FB"/>
    <w:rsid w:val="6F9D3BB3"/>
    <w:rsid w:val="6FB026B2"/>
    <w:rsid w:val="6FC75036"/>
    <w:rsid w:val="70900DB0"/>
    <w:rsid w:val="70E7254E"/>
    <w:rsid w:val="71917722"/>
    <w:rsid w:val="72117322"/>
    <w:rsid w:val="72544ACF"/>
    <w:rsid w:val="72B0307D"/>
    <w:rsid w:val="72F22421"/>
    <w:rsid w:val="739A1583"/>
    <w:rsid w:val="74484734"/>
    <w:rsid w:val="774B1F49"/>
    <w:rsid w:val="792539DA"/>
    <w:rsid w:val="79F53FD4"/>
    <w:rsid w:val="7A925C48"/>
    <w:rsid w:val="7C805C6D"/>
    <w:rsid w:val="7D5102A0"/>
    <w:rsid w:val="7F130501"/>
    <w:rsid w:val="7FB8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214</Words>
  <Characters>1226</Characters>
  <Lines>10</Lines>
  <Paragraphs>2</Paragraphs>
  <TotalTime>0</TotalTime>
  <ScaleCrop>false</ScaleCrop>
  <LinksUpToDate>false</LinksUpToDate>
  <CharactersWithSpaces>1438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2021-01-09T06:07:00Z</dcterms:created>
  <dc:creator>lenovo</dc:creator>
  <cp:lastModifiedBy>晓羽</cp:lastModifiedBy>
  <cp:lastPrinted>2021-01-14T07:20:00Z</cp:lastPrinted>
  <dcterms:modified xsi:type="dcterms:W3CDTF">2024-01-16T06:59:33Z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FE2D77B7A7F14CB28C5DC950283AA6D9_13</vt:lpwstr>
  </property>
</Properties>
</file>