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2021年南关区富裕街道</w:t>
      </w:r>
      <w:r>
        <w:rPr>
          <w:rFonts w:hint="eastAsia" w:ascii="宋体" w:hAnsi="宋体" w:eastAsia="宋体" w:cs="宋体"/>
          <w:b/>
          <w:bCs/>
          <w:sz w:val="36"/>
          <w:szCs w:val="36"/>
        </w:rPr>
        <w:t>信息公开工作年度报告</w:t>
      </w:r>
    </w:p>
    <w:p>
      <w:pPr>
        <w:ind w:firstLine="480" w:firstLineChars="200"/>
        <w:jc w:val="center"/>
        <w:rPr>
          <w:rFonts w:hint="eastAsia" w:ascii="宋体" w:hAnsi="宋体" w:eastAsia="宋体" w:cs="宋体"/>
          <w:sz w:val="24"/>
          <w:szCs w:val="24"/>
        </w:rPr>
      </w:pPr>
    </w:p>
    <w:p>
      <w:pPr>
        <w:ind w:firstLine="480" w:firstLineChars="200"/>
        <w:rPr>
          <w:rFonts w:ascii="宋体" w:hAnsi="宋体" w:eastAsia="宋体" w:cs="宋体"/>
          <w:sz w:val="24"/>
          <w:szCs w:val="24"/>
        </w:rPr>
      </w:pPr>
      <w:r>
        <w:rPr>
          <w:rFonts w:hint="eastAsia" w:ascii="宋体" w:hAnsi="宋体" w:eastAsia="宋体" w:cs="宋体"/>
          <w:sz w:val="24"/>
          <w:szCs w:val="24"/>
        </w:rPr>
        <w:t>根据《中华人民共和国政府信息公开条例》规定，现公布202</w:t>
      </w:r>
      <w:r>
        <w:rPr>
          <w:rFonts w:hint="eastAsia" w:ascii="宋体" w:hAnsi="宋体" w:eastAsia="宋体" w:cs="宋体"/>
          <w:sz w:val="24"/>
          <w:szCs w:val="24"/>
          <w:lang w:val="en-US" w:eastAsia="zh-CN"/>
        </w:rPr>
        <w:t>1</w:t>
      </w:r>
      <w:bookmarkStart w:id="0" w:name="_GoBack"/>
      <w:bookmarkEnd w:id="0"/>
      <w:r>
        <w:rPr>
          <w:rFonts w:hint="eastAsia" w:ascii="宋体" w:hAnsi="宋体" w:eastAsia="宋体" w:cs="宋体"/>
          <w:sz w:val="24"/>
          <w:szCs w:val="24"/>
        </w:rPr>
        <w:t>年南关区富裕街道政府信息公开工作年度报告。</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202</w:t>
      </w:r>
      <w:r>
        <w:rPr>
          <w:rFonts w:hint="eastAsia" w:ascii="宋体" w:hAnsi="宋体" w:eastAsia="宋体" w:cs="宋体"/>
          <w:sz w:val="24"/>
          <w:szCs w:val="24"/>
          <w:lang w:val="en-US" w:eastAsia="zh-CN"/>
        </w:rPr>
        <w:t>1</w:t>
      </w:r>
      <w:r>
        <w:rPr>
          <w:rFonts w:hint="eastAsia" w:ascii="宋体" w:hAnsi="宋体" w:eastAsia="宋体" w:cs="宋体"/>
          <w:sz w:val="24"/>
          <w:szCs w:val="24"/>
        </w:rPr>
        <w:t>年，富裕街道全面贯彻落实《条例》、</w:t>
      </w:r>
      <w:r>
        <w:rPr>
          <w:rFonts w:hint="eastAsia" w:ascii="宋体" w:hAnsi="宋体" w:eastAsia="宋体" w:cs="宋体"/>
          <w:sz w:val="24"/>
          <w:szCs w:val="24"/>
          <w:lang w:eastAsia="zh-CN"/>
        </w:rPr>
        <w:t>《国务院办公厅关于在政务公开工作中进一步做好政务舆情回应的通知》、《国务院关于加快推进“互联网+政务服务”工作的指导意见》、《关于全面推进政务公开工作的意见》、《长春市南关区人民政府办公室关于印发南关区政务公开工作要点的通知》</w:t>
      </w:r>
      <w:r>
        <w:rPr>
          <w:rFonts w:hint="eastAsia" w:ascii="宋体" w:hAnsi="宋体" w:eastAsia="宋体" w:cs="宋体"/>
          <w:sz w:val="24"/>
          <w:szCs w:val="24"/>
        </w:rPr>
        <w:t>等文件精神，不断拓展公开内容，创新公开形式，完善公开制度，强化公开监督，政府信息公开工作取得了显著的成效。。</w:t>
      </w:r>
    </w:p>
    <w:p>
      <w:pPr>
        <w:numPr>
          <w:ilvl w:val="0"/>
          <w:numId w:val="1"/>
        </w:numPr>
        <w:ind w:firstLine="480" w:firstLineChars="200"/>
        <w:rPr>
          <w:rFonts w:hint="eastAsia" w:ascii="宋体" w:hAnsi="宋体" w:eastAsia="宋体" w:cs="宋体"/>
          <w:sz w:val="24"/>
          <w:szCs w:val="24"/>
        </w:rPr>
      </w:pPr>
      <w:r>
        <w:rPr>
          <w:rFonts w:hint="eastAsia" w:ascii="宋体" w:hAnsi="宋体" w:eastAsia="宋体" w:cs="宋体"/>
          <w:sz w:val="24"/>
          <w:szCs w:val="24"/>
        </w:rPr>
        <w:t>组织推动政府信息公开工作。</w:t>
      </w:r>
      <w:r>
        <w:rPr>
          <w:rFonts w:ascii="宋体" w:hAnsi="宋体" w:eastAsia="宋体" w:cs="宋体"/>
          <w:i w:val="0"/>
          <w:iCs w:val="0"/>
          <w:caps w:val="0"/>
          <w:color w:val="000000"/>
          <w:spacing w:val="0"/>
          <w:sz w:val="24"/>
          <w:szCs w:val="24"/>
          <w:shd w:val="clear" w:fill="FFFFFF"/>
        </w:rPr>
        <w:t>　一是严格落实年度报告制度。按时完成富裕街道上一年度政府信息公开年度报告，如实详细的反映全年街道的政务信息公开工作完成情况</w:t>
      </w:r>
      <w:r>
        <w:rPr>
          <w:rFonts w:hint="eastAsia" w:ascii="宋体" w:hAnsi="宋体" w:eastAsia="宋体" w:cs="宋体"/>
          <w:i w:val="0"/>
          <w:iCs w:val="0"/>
          <w:caps w:val="0"/>
          <w:color w:val="000000"/>
          <w:spacing w:val="0"/>
          <w:sz w:val="24"/>
          <w:szCs w:val="24"/>
          <w:shd w:val="clear" w:fill="FFFFFF"/>
          <w:lang w:eastAsia="zh-CN"/>
        </w:rPr>
        <w:t>；</w:t>
      </w:r>
      <w:r>
        <w:rPr>
          <w:rFonts w:ascii="宋体" w:hAnsi="宋体" w:eastAsia="宋体" w:cs="宋体"/>
          <w:i w:val="0"/>
          <w:iCs w:val="0"/>
          <w:caps w:val="0"/>
          <w:color w:val="000000"/>
          <w:spacing w:val="0"/>
          <w:sz w:val="24"/>
          <w:szCs w:val="24"/>
          <w:shd w:val="clear" w:fill="FFFFFF"/>
        </w:rPr>
        <w:t>二是认真做好主动公开政府信息工作。每月按照要求，做到集中搜集信息、集中审核信息、集中公开信息、集中报送信息，保证了政府信息公开的及时性和安全性，做到了政府信息公开的规范化和常态化</w:t>
      </w:r>
      <w:r>
        <w:rPr>
          <w:rFonts w:hint="eastAsia" w:ascii="宋体" w:hAnsi="宋体" w:eastAsia="宋体" w:cs="宋体"/>
          <w:i w:val="0"/>
          <w:iCs w:val="0"/>
          <w:caps w:val="0"/>
          <w:color w:val="000000"/>
          <w:spacing w:val="0"/>
          <w:sz w:val="24"/>
          <w:szCs w:val="24"/>
          <w:shd w:val="clear" w:fill="FFFFFF"/>
          <w:lang w:eastAsia="zh-CN"/>
        </w:rPr>
        <w:t>；</w:t>
      </w:r>
      <w:r>
        <w:rPr>
          <w:rFonts w:ascii="宋体" w:hAnsi="宋体" w:eastAsia="宋体" w:cs="宋体"/>
          <w:i w:val="0"/>
          <w:iCs w:val="0"/>
          <w:caps w:val="0"/>
          <w:color w:val="000000"/>
          <w:spacing w:val="0"/>
          <w:sz w:val="24"/>
          <w:szCs w:val="24"/>
          <w:shd w:val="clear" w:fill="FFFFFF"/>
        </w:rPr>
        <w:t>三是认真做好依申请公开政府信息工作。进一步强化了富裕街道政府信息公开申请接收、登记、办理、审核、答复、归档等各个环节的制度规范，简化办事程序，落实了办理责任。</w:t>
      </w:r>
    </w:p>
    <w:p>
      <w:pPr>
        <w:numPr>
          <w:ilvl w:val="0"/>
          <w:numId w:val="0"/>
        </w:numPr>
        <w:ind w:firstLine="480" w:firstLineChars="200"/>
        <w:rPr>
          <w:rFonts w:hint="eastAsia" w:ascii="宋体" w:hAnsi="宋体" w:eastAsia="宋体" w:cs="宋体"/>
          <w:sz w:val="24"/>
          <w:szCs w:val="24"/>
        </w:rPr>
      </w:pPr>
      <w:r>
        <w:rPr>
          <w:rFonts w:hint="eastAsia" w:ascii="宋体" w:hAnsi="宋体" w:eastAsia="宋体" w:cs="宋体"/>
          <w:sz w:val="24"/>
          <w:szCs w:val="24"/>
        </w:rPr>
        <w:t>（二）积极推动政府信息主动公开。202</w:t>
      </w:r>
      <w:r>
        <w:rPr>
          <w:rFonts w:hint="eastAsia" w:ascii="宋体" w:hAnsi="宋体" w:eastAsia="宋体" w:cs="宋体"/>
          <w:sz w:val="24"/>
          <w:szCs w:val="24"/>
          <w:lang w:val="en-US" w:eastAsia="zh-CN"/>
        </w:rPr>
        <w:t>1</w:t>
      </w:r>
      <w:r>
        <w:rPr>
          <w:rFonts w:hint="eastAsia" w:ascii="宋体" w:hAnsi="宋体" w:eastAsia="宋体" w:cs="宋体"/>
          <w:sz w:val="24"/>
          <w:szCs w:val="24"/>
        </w:rPr>
        <w:t>年，主动公开信息2</w:t>
      </w:r>
      <w:r>
        <w:rPr>
          <w:rFonts w:hint="eastAsia" w:ascii="宋体" w:hAnsi="宋体" w:eastAsia="宋体" w:cs="宋体"/>
          <w:sz w:val="24"/>
          <w:szCs w:val="24"/>
          <w:lang w:val="en-US" w:eastAsia="zh-CN"/>
        </w:rPr>
        <w:t>0</w:t>
      </w:r>
      <w:r>
        <w:rPr>
          <w:rFonts w:hint="eastAsia" w:ascii="宋体" w:hAnsi="宋体" w:eastAsia="宋体" w:cs="宋体"/>
          <w:sz w:val="24"/>
          <w:szCs w:val="24"/>
        </w:rPr>
        <w:t>次。</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（三）认真规范处理依申请公开。　202</w:t>
      </w:r>
      <w:r>
        <w:rPr>
          <w:rFonts w:hint="eastAsia" w:ascii="宋体" w:hAnsi="宋体" w:eastAsia="宋体" w:cs="宋体"/>
          <w:sz w:val="24"/>
          <w:szCs w:val="24"/>
          <w:lang w:val="en-US" w:eastAsia="zh-CN"/>
        </w:rPr>
        <w:t>1</w:t>
      </w:r>
      <w:r>
        <w:rPr>
          <w:rFonts w:hint="eastAsia" w:ascii="宋体" w:hAnsi="宋体" w:eastAsia="宋体" w:cs="宋体"/>
          <w:sz w:val="24"/>
          <w:szCs w:val="24"/>
        </w:rPr>
        <w:t>年收到依申请公开申请0件。</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（四）不断强化政府信息公开平台内容保障。</w:t>
      </w:r>
      <w:r>
        <w:rPr>
          <w:rFonts w:hint="eastAsia" w:ascii="宋体" w:hAnsi="宋体" w:eastAsia="宋体" w:cs="宋体"/>
          <w:sz w:val="24"/>
          <w:szCs w:val="24"/>
          <w:lang w:val="en-US" w:eastAsia="zh-CN"/>
        </w:rPr>
        <w:t>2021年确立政府信息公开常态化工作流程，落实三级审查机制，保证公开内容质量</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（五）全力做好</w:t>
      </w:r>
      <w:r>
        <w:rPr>
          <w:rFonts w:hint="eastAsia" w:ascii="宋体" w:hAnsi="宋体" w:eastAsia="宋体" w:cs="宋体"/>
          <w:sz w:val="24"/>
          <w:szCs w:val="24"/>
          <w:lang w:eastAsia="zh-CN"/>
        </w:rPr>
        <w:t>政务公开专区建设</w:t>
      </w:r>
      <w:r>
        <w:rPr>
          <w:rFonts w:hint="eastAsia" w:ascii="宋体" w:hAnsi="宋体" w:eastAsia="宋体" w:cs="宋体"/>
          <w:sz w:val="24"/>
          <w:szCs w:val="24"/>
        </w:rPr>
        <w:t>工作。</w:t>
      </w:r>
      <w:r>
        <w:rPr>
          <w:rFonts w:hint="eastAsia" w:ascii="宋体" w:hAnsi="宋体" w:eastAsia="宋体" w:cs="宋体"/>
          <w:sz w:val="24"/>
          <w:szCs w:val="24"/>
          <w:lang w:val="en-US" w:eastAsia="zh-CN"/>
        </w:rPr>
        <w:t>2021年设置专人管理政务公开专区，深化街道内部沟通协作，保证公开内容及时、有效。</w:t>
      </w:r>
    </w:p>
    <w:p>
      <w:pPr>
        <w:ind w:firstLine="480" w:firstLineChars="200"/>
        <w:rPr>
          <w:rFonts w:hint="eastAsia" w:ascii="宋体" w:hAnsi="宋体" w:eastAsia="宋体" w:cs="宋体"/>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6"/>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815"/>
        <w:gridCol w:w="2651"/>
        <w:gridCol w:w="685"/>
        <w:gridCol w:w="696"/>
        <w:gridCol w:w="729"/>
        <w:gridCol w:w="707"/>
        <w:gridCol w:w="762"/>
        <w:gridCol w:w="685"/>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4119" w:type="dxa"/>
            <w:gridSpan w:val="3"/>
            <w:vMerge w:val="restart"/>
            <w:vAlign w:val="center"/>
          </w:tcPr>
          <w:p>
            <w:pPr>
              <w:jc w:val="center"/>
              <w:rPr>
                <w:rFonts w:ascii="宋体" w:hAnsi="宋体" w:eastAsia="宋体" w:cs="宋体"/>
                <w:b/>
                <w:bCs/>
                <w:sz w:val="24"/>
                <w:szCs w:val="24"/>
              </w:rPr>
            </w:pPr>
            <w:r>
              <w:rPr>
                <w:rFonts w:ascii="楷体" w:hAnsi="楷体" w:eastAsia="楷体" w:cs="楷体"/>
                <w:kern w:val="0"/>
                <w:sz w:val="20"/>
                <w:szCs w:val="20"/>
                <w:lang w:bidi="ar"/>
              </w:rPr>
              <w:t>（本列数据的勾稽关系为：第一项加第二项之和，等于第三项加第四项之和）</w:t>
            </w:r>
          </w:p>
        </w:tc>
        <w:tc>
          <w:tcPr>
            <w:tcW w:w="4895" w:type="dxa"/>
            <w:gridSpan w:val="7"/>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4119" w:type="dxa"/>
            <w:gridSpan w:val="3"/>
            <w:vMerge w:val="continue"/>
          </w:tcPr>
          <w:p>
            <w:pPr>
              <w:rPr>
                <w:rFonts w:ascii="宋体" w:hAnsi="宋体" w:eastAsia="宋体" w:cs="宋体"/>
                <w:b/>
                <w:bCs/>
                <w:sz w:val="24"/>
                <w:szCs w:val="24"/>
              </w:rPr>
            </w:pPr>
          </w:p>
        </w:tc>
        <w:tc>
          <w:tcPr>
            <w:tcW w:w="685"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自然人</w:t>
            </w:r>
          </w:p>
        </w:tc>
        <w:tc>
          <w:tcPr>
            <w:tcW w:w="3579" w:type="dxa"/>
            <w:gridSpan w:val="5"/>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法人或其他组织</w:t>
            </w:r>
          </w:p>
        </w:tc>
        <w:tc>
          <w:tcPr>
            <w:tcW w:w="631" w:type="dxa"/>
            <w:vMerge w:val="restart"/>
            <w:vAlign w:val="center"/>
          </w:tcPr>
          <w:p>
            <w:pPr>
              <w:jc w:val="center"/>
              <w:rPr>
                <w:rFonts w:ascii="宋体" w:hAnsi="宋体" w:eastAsia="宋体" w:cs="宋体"/>
                <w:b/>
                <w:bCs/>
                <w:sz w:val="24"/>
                <w:szCs w:val="24"/>
              </w:rPr>
            </w:pPr>
            <w:r>
              <w:rPr>
                <w:rFonts w:hint="eastAsia" w:ascii="宋体" w:hAnsi="宋体" w:eastAsia="宋体" w:cs="宋体"/>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9" w:type="dxa"/>
            <w:gridSpan w:val="3"/>
            <w:vMerge w:val="continue"/>
          </w:tcPr>
          <w:p>
            <w:pPr>
              <w:rPr>
                <w:rFonts w:ascii="宋体" w:hAnsi="宋体" w:eastAsia="宋体" w:cs="宋体"/>
                <w:b/>
                <w:bCs/>
                <w:sz w:val="24"/>
                <w:szCs w:val="24"/>
              </w:rPr>
            </w:pPr>
          </w:p>
        </w:tc>
        <w:tc>
          <w:tcPr>
            <w:tcW w:w="685" w:type="dxa"/>
            <w:vMerge w:val="continue"/>
          </w:tcPr>
          <w:p>
            <w:pPr>
              <w:rPr>
                <w:rFonts w:ascii="宋体" w:hAnsi="宋体" w:eastAsia="宋体" w:cs="宋体"/>
                <w:b/>
                <w:bCs/>
                <w:sz w:val="24"/>
                <w:szCs w:val="24"/>
              </w:rPr>
            </w:pPr>
          </w:p>
        </w:tc>
        <w:tc>
          <w:tcPr>
            <w:tcW w:w="696"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商业企业</w:t>
            </w:r>
          </w:p>
        </w:tc>
        <w:tc>
          <w:tcPr>
            <w:tcW w:w="729"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科研机构</w:t>
            </w:r>
          </w:p>
        </w:tc>
        <w:tc>
          <w:tcPr>
            <w:tcW w:w="707"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社会公益组织</w:t>
            </w:r>
          </w:p>
        </w:tc>
        <w:tc>
          <w:tcPr>
            <w:tcW w:w="762"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法律服务机构</w:t>
            </w:r>
          </w:p>
        </w:tc>
        <w:tc>
          <w:tcPr>
            <w:tcW w:w="685" w:type="dxa"/>
            <w:vAlign w:val="center"/>
          </w:tcPr>
          <w:p>
            <w:pPr>
              <w:widowControl/>
              <w:spacing w:line="12" w:lineRule="atLeast"/>
              <w:jc w:val="center"/>
              <w:rPr>
                <w:rFonts w:ascii="宋体" w:hAnsi="宋体" w:eastAsia="宋体" w:cs="宋体"/>
                <w:sz w:val="24"/>
                <w:szCs w:val="24"/>
              </w:rPr>
            </w:pPr>
            <w:r>
              <w:rPr>
                <w:rFonts w:hint="eastAsia" w:ascii="宋体" w:hAnsi="宋体" w:eastAsia="宋体" w:cs="宋体"/>
                <w:kern w:val="0"/>
                <w:sz w:val="20"/>
                <w:szCs w:val="20"/>
                <w:lang w:bidi="ar"/>
              </w:rPr>
              <w:t>其他</w:t>
            </w:r>
          </w:p>
        </w:tc>
        <w:tc>
          <w:tcPr>
            <w:tcW w:w="631" w:type="dxa"/>
            <w:vMerge w:val="continue"/>
          </w:tcPr>
          <w:p>
            <w:pP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一、本年新收政府信息公开申请数量</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119" w:type="dxa"/>
            <w:gridSpan w:val="3"/>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二、上年结转政府信息公开申请数量</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restart"/>
            <w:vAlign w:val="center"/>
          </w:tcPr>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hint="eastAsia" w:ascii="宋体" w:hAnsi="宋体" w:eastAsia="宋体" w:cs="宋体"/>
                <w:kern w:val="0"/>
                <w:sz w:val="20"/>
                <w:szCs w:val="20"/>
                <w:lang w:bidi="ar"/>
              </w:rPr>
            </w:pPr>
          </w:p>
          <w:p>
            <w:pPr>
              <w:widowControl/>
              <w:spacing w:line="12" w:lineRule="atLeast"/>
              <w:rPr>
                <w:rFonts w:ascii="宋体" w:hAnsi="宋体" w:eastAsia="宋体" w:cs="宋体"/>
                <w:b/>
                <w:bCs/>
                <w:sz w:val="24"/>
                <w:szCs w:val="24"/>
              </w:rPr>
            </w:pPr>
            <w:r>
              <w:rPr>
                <w:rFonts w:hint="eastAsia" w:ascii="宋体" w:hAnsi="宋体" w:eastAsia="宋体" w:cs="宋体"/>
                <w:kern w:val="0"/>
                <w:sz w:val="20"/>
                <w:szCs w:val="20"/>
                <w:lang w:bidi="ar"/>
              </w:rPr>
              <w:t>三、本年度办理结果</w:t>
            </w: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（一）予以公开</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（三）不予公开</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1.属于国家秘密</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2.其他法律行政法规禁止公开</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3.危及“三安全一稳定”</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4.保护第三方合法权益</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5.属于三类内部事务信息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6.属于四类过程性信息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7.属于行政执法案卷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8.属于行政查询事项</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（四）无法提供</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1.本机关不掌握相关政府信息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2.没有现成信息需要另行制作</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3.补正后申请内容仍不明确</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（五）不予处理</w:t>
            </w: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1.信访举报投诉类申请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2.重复申请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3.要求提供公开出版物</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4.无正当理由大量反复申请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vAlign w:val="center"/>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b/>
                <w:bCs/>
                <w:sz w:val="24"/>
                <w:szCs w:val="24"/>
              </w:rPr>
            </w:pPr>
            <w:r>
              <w:rPr>
                <w:rFonts w:hint="eastAsia" w:ascii="宋体" w:hAnsi="宋体" w:eastAsia="宋体" w:cs="宋体"/>
                <w:kern w:val="0"/>
                <w:sz w:val="20"/>
                <w:szCs w:val="20"/>
                <w:lang w:bidi="ar"/>
              </w:rPr>
              <w:t>5.要求行政机关确认或重新出具已获取信息</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restart"/>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（六）其他处理</w:t>
            </w: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hint="eastAsia" w:ascii="宋体" w:hAnsi="宋体" w:eastAsia="宋体" w:cs="宋体"/>
                <w:sz w:val="24"/>
                <w:szCs w:val="24"/>
                <w:lang w:val="en-US" w:eastAsia="zh-CN"/>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53" w:type="dxa"/>
            <w:vMerge w:val="continue"/>
          </w:tcPr>
          <w:p>
            <w:pPr>
              <w:rPr>
                <w:rFonts w:ascii="宋体" w:hAnsi="宋体" w:eastAsia="宋体" w:cs="宋体"/>
                <w:b/>
                <w:bCs/>
                <w:sz w:val="24"/>
                <w:szCs w:val="24"/>
              </w:rPr>
            </w:pPr>
          </w:p>
        </w:tc>
        <w:tc>
          <w:tcPr>
            <w:tcW w:w="815" w:type="dxa"/>
            <w:vMerge w:val="continue"/>
          </w:tcPr>
          <w:p>
            <w:pPr>
              <w:rPr>
                <w:rFonts w:ascii="宋体" w:hAnsi="宋体" w:eastAsia="宋体" w:cs="宋体"/>
                <w:b/>
                <w:bCs/>
                <w:sz w:val="24"/>
                <w:szCs w:val="24"/>
              </w:rPr>
            </w:pPr>
          </w:p>
        </w:tc>
        <w:tc>
          <w:tcPr>
            <w:tcW w:w="2651" w:type="dxa"/>
            <w:vAlign w:val="center"/>
          </w:tcPr>
          <w:p>
            <w:pPr>
              <w:widowControl/>
              <w:spacing w:line="12" w:lineRule="atLeast"/>
              <w:jc w:val="left"/>
              <w:rPr>
                <w:rFonts w:ascii="宋体" w:hAnsi="宋体" w:eastAsia="宋体" w:cs="宋体"/>
                <w:sz w:val="24"/>
                <w:szCs w:val="24"/>
              </w:rPr>
            </w:pPr>
            <w:r>
              <w:rPr>
                <w:rFonts w:hint="eastAsia" w:ascii="宋体" w:hAnsi="宋体" w:eastAsia="宋体" w:cs="宋体"/>
                <w:kern w:val="0"/>
                <w:sz w:val="20"/>
                <w:szCs w:val="20"/>
                <w:lang w:bidi="ar"/>
              </w:rPr>
              <w:t>3.其他</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53" w:type="dxa"/>
            <w:vMerge w:val="continue"/>
          </w:tcPr>
          <w:p>
            <w:pPr>
              <w:rPr>
                <w:rFonts w:ascii="宋体" w:hAnsi="宋体" w:eastAsia="宋体" w:cs="宋体"/>
                <w:b/>
                <w:bCs/>
                <w:sz w:val="24"/>
                <w:szCs w:val="24"/>
              </w:rPr>
            </w:pPr>
          </w:p>
        </w:tc>
        <w:tc>
          <w:tcPr>
            <w:tcW w:w="3466" w:type="dxa"/>
            <w:gridSpan w:val="2"/>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（七）总计</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119" w:type="dxa"/>
            <w:gridSpan w:val="3"/>
            <w:vAlign w:val="center"/>
          </w:tcPr>
          <w:p>
            <w:pPr>
              <w:rPr>
                <w:rFonts w:ascii="宋体" w:hAnsi="宋体" w:eastAsia="宋体" w:cs="宋体"/>
                <w:b/>
                <w:bCs/>
                <w:sz w:val="24"/>
                <w:szCs w:val="24"/>
              </w:rPr>
            </w:pPr>
            <w:r>
              <w:rPr>
                <w:rFonts w:hint="eastAsia" w:ascii="宋体" w:hAnsi="宋体" w:eastAsia="宋体" w:cs="宋体"/>
                <w:kern w:val="0"/>
                <w:sz w:val="20"/>
                <w:szCs w:val="20"/>
                <w:lang w:bidi="ar"/>
              </w:rPr>
              <w:t>四、结转下年度继续办理</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96"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29"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07"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762"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85"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c>
          <w:tcPr>
            <w:tcW w:w="631" w:type="dxa"/>
          </w:tcPr>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0</w:t>
            </w:r>
          </w:p>
        </w:tc>
      </w:tr>
    </w:tbl>
    <w:p>
      <w:pPr>
        <w:numPr>
          <w:ilvl w:val="0"/>
          <w:numId w:val="2"/>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599"/>
        <w:gridCol w:w="599"/>
        <w:gridCol w:w="599"/>
        <w:gridCol w:w="606"/>
        <w:gridCol w:w="600"/>
        <w:gridCol w:w="629"/>
        <w:gridCol w:w="600"/>
        <w:gridCol w:w="600"/>
        <w:gridCol w:w="618"/>
        <w:gridCol w:w="600"/>
        <w:gridCol w:w="600"/>
        <w:gridCol w:w="600"/>
        <w:gridCol w:w="607"/>
        <w:gridCol w:w="600"/>
        <w:gridCol w:w="614"/>
      </w:tblGrid>
      <w:tr>
        <w:trPr>
          <w:jc w:val="center"/>
        </w:trPr>
        <w:tc>
          <w:tcPr>
            <w:tcW w:w="30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行政复议</w:t>
            </w:r>
          </w:p>
        </w:tc>
        <w:tc>
          <w:tcPr>
            <w:tcW w:w="604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行政诉讼</w:t>
            </w:r>
          </w:p>
        </w:tc>
      </w:tr>
      <w:tr>
        <w:tblPrEx>
          <w:tblCellMar>
            <w:top w:w="0" w:type="dxa"/>
            <w:left w:w="0" w:type="dxa"/>
            <w:bottom w:w="0" w:type="dxa"/>
            <w:right w:w="0" w:type="dxa"/>
          </w:tblCellMar>
        </w:tblPrEx>
        <w:trPr>
          <w:jc w:val="center"/>
        </w:trPr>
        <w:tc>
          <w:tcPr>
            <w:tcW w:w="60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1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0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总计</w:t>
            </w:r>
          </w:p>
        </w:tc>
        <w:tc>
          <w:tcPr>
            <w:tcW w:w="3042"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未经复议直接起诉</w:t>
            </w:r>
          </w:p>
        </w:tc>
        <w:tc>
          <w:tcPr>
            <w:tcW w:w="3005"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复议后起诉</w:t>
            </w:r>
          </w:p>
        </w:tc>
      </w:tr>
      <w:tr>
        <w:tblPrEx>
          <w:tblCellMar>
            <w:top w:w="0" w:type="dxa"/>
            <w:left w:w="0" w:type="dxa"/>
            <w:bottom w:w="0" w:type="dxa"/>
            <w:right w:w="0" w:type="dxa"/>
          </w:tblCellMar>
        </w:tblPrEx>
        <w:trPr>
          <w:jc w:val="center"/>
        </w:trPr>
        <w:tc>
          <w:tcPr>
            <w:tcW w:w="665"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9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1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54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18"/>
                <w:szCs w:val="18"/>
              </w:rPr>
            </w:pPr>
          </w:p>
        </w:tc>
        <w:tc>
          <w:tcPr>
            <w:tcW w:w="63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59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其他结果</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5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结果维持</w:t>
            </w:r>
          </w:p>
        </w:tc>
        <w:tc>
          <w:tcPr>
            <w:tcW w:w="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结果纠正</w:t>
            </w:r>
          </w:p>
        </w:tc>
        <w:tc>
          <w:tcPr>
            <w:tcW w:w="61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其他结果</w:t>
            </w:r>
          </w:p>
        </w:tc>
        <w:tc>
          <w:tcPr>
            <w:tcW w:w="5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尚未审结</w:t>
            </w:r>
          </w:p>
        </w:tc>
        <w:tc>
          <w:tcPr>
            <w:tcW w:w="62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r>
              <w:rPr>
                <w:rFonts w:hint="eastAsia" w:ascii="宋体" w:hAnsi="宋体" w:eastAsia="宋体" w:cs="宋体"/>
                <w:color w:val="000000"/>
                <w:kern w:val="0"/>
                <w:sz w:val="18"/>
                <w:szCs w:val="18"/>
              </w:rPr>
              <w:t>总计</w:t>
            </w:r>
          </w:p>
        </w:tc>
      </w:tr>
      <w:tr>
        <w:tblPrEx>
          <w:tblCellMar>
            <w:top w:w="0" w:type="dxa"/>
            <w:left w:w="0" w:type="dxa"/>
            <w:bottom w:w="0" w:type="dxa"/>
            <w:right w:w="0" w:type="dxa"/>
          </w:tblCellMar>
        </w:tblPrEx>
        <w:trPr>
          <w:trHeight w:val="697" w:hRule="atLeast"/>
          <w:jc w:val="center"/>
        </w:trPr>
        <w:tc>
          <w:tcPr>
            <w:tcW w:w="6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c>
          <w:tcPr>
            <w:tcW w:w="60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18"/>
                <w:szCs w:val="18"/>
              </w:rPr>
            </w:pP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富裕街道高度重视政务信息公开工作，能够按照要求认真落实好各项工作，但仍存在一些不足之处：例如政务新媒体的建设和管理工作中，信息的更新频次还需提高，</w:t>
      </w:r>
      <w:r>
        <w:rPr>
          <w:rFonts w:hint="eastAsia" w:ascii="宋体" w:hAnsi="宋体" w:eastAsia="宋体" w:cs="宋体"/>
          <w:sz w:val="24"/>
          <w:szCs w:val="24"/>
          <w:lang w:val="en-US" w:eastAsia="zh-CN"/>
        </w:rPr>
        <w:t>信息的更新内容还需丰富，</w:t>
      </w:r>
      <w:r>
        <w:rPr>
          <w:rFonts w:hint="eastAsia" w:ascii="宋体" w:hAnsi="宋体" w:eastAsia="宋体" w:cs="宋体"/>
          <w:sz w:val="24"/>
          <w:szCs w:val="24"/>
        </w:rPr>
        <w:t>对平台的建设还需加强管理的力度，让政务新媒体更好的服务居民群众。</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年，富裕街道将继续依照全面贯彻落实《条例》和中央、省、市、区的相关要求，采取多种方法比较全面、及时、准确地进行公开，努力使我街的政府信息公开工作上一个新台阶。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是切实提高认识，加强《政府信息公开条例》的学习宣传。始终将政务公开作为本局的工作重要内容，认真抓好落实，进一步提高干部职工的思想认识，不断增强做好政务公开工作的责任感和使命感。二是丰富公开内容。按照《政府信息公开条例》等法规、规章、制度的规定，及时公开政务信息，公开内容做到真实、具体、全面，不断增强工作透明度，加强对公众关注度高的信息的梳理。三是不断提高信息员政府信息公开工作的业务能力。积极参加政府信息公开业务培训，经常交流信息公开经验，不断提高政策把握能力、舆情研判能力、解疑释惑能力和回应引导能力。</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无</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F55AA"/>
    <w:multiLevelType w:val="singleLevel"/>
    <w:tmpl w:val="44EF55AA"/>
    <w:lvl w:ilvl="0" w:tentative="0">
      <w:start w:val="1"/>
      <w:numFmt w:val="chineseCounting"/>
      <w:suff w:val="nothing"/>
      <w:lvlText w:val="（%1）"/>
      <w:lvlJc w:val="left"/>
      <w:rPr>
        <w:rFonts w:hint="eastAsia"/>
      </w:rPr>
    </w:lvl>
  </w:abstractNum>
  <w:abstractNum w:abstractNumId="1">
    <w:nsid w:val="704075A3"/>
    <w:multiLevelType w:val="singleLevel"/>
    <w:tmpl w:val="704075A3"/>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44258"/>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178F5"/>
    <w:rsid w:val="00732470"/>
    <w:rsid w:val="00782C19"/>
    <w:rsid w:val="007B17B1"/>
    <w:rsid w:val="007B5621"/>
    <w:rsid w:val="007B6DE2"/>
    <w:rsid w:val="0080399C"/>
    <w:rsid w:val="00822540"/>
    <w:rsid w:val="00831E99"/>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771E0"/>
    <w:rsid w:val="00AD6863"/>
    <w:rsid w:val="00B16D57"/>
    <w:rsid w:val="00B34B60"/>
    <w:rsid w:val="00B50AB5"/>
    <w:rsid w:val="00B751E4"/>
    <w:rsid w:val="00B83021"/>
    <w:rsid w:val="00B86BEF"/>
    <w:rsid w:val="00B93336"/>
    <w:rsid w:val="00BC6098"/>
    <w:rsid w:val="00C834FE"/>
    <w:rsid w:val="00CD1012"/>
    <w:rsid w:val="00CF3763"/>
    <w:rsid w:val="00D72931"/>
    <w:rsid w:val="00DC3320"/>
    <w:rsid w:val="00DF0BB0"/>
    <w:rsid w:val="00E05F91"/>
    <w:rsid w:val="00E1093B"/>
    <w:rsid w:val="00E1401D"/>
    <w:rsid w:val="00E40A4D"/>
    <w:rsid w:val="00E73B0E"/>
    <w:rsid w:val="00EA0B0A"/>
    <w:rsid w:val="00EB1AAF"/>
    <w:rsid w:val="00EB486F"/>
    <w:rsid w:val="00EC161F"/>
    <w:rsid w:val="00EC335E"/>
    <w:rsid w:val="00EE4669"/>
    <w:rsid w:val="00EE507F"/>
    <w:rsid w:val="00EF5CFE"/>
    <w:rsid w:val="00F46632"/>
    <w:rsid w:val="00F56DF8"/>
    <w:rsid w:val="00FF4EA9"/>
    <w:rsid w:val="01C74C41"/>
    <w:rsid w:val="03615DE6"/>
    <w:rsid w:val="04B70161"/>
    <w:rsid w:val="05066EA2"/>
    <w:rsid w:val="06A434A5"/>
    <w:rsid w:val="0AC4028D"/>
    <w:rsid w:val="0B924A77"/>
    <w:rsid w:val="0D1C7438"/>
    <w:rsid w:val="0D9A07CB"/>
    <w:rsid w:val="0EF95E3E"/>
    <w:rsid w:val="0F841BAC"/>
    <w:rsid w:val="0FFF2C05"/>
    <w:rsid w:val="101A7A9C"/>
    <w:rsid w:val="10D94ED9"/>
    <w:rsid w:val="12AB7BEB"/>
    <w:rsid w:val="13916BB7"/>
    <w:rsid w:val="14730738"/>
    <w:rsid w:val="16F67B0A"/>
    <w:rsid w:val="18DE0B8B"/>
    <w:rsid w:val="1BF24C7D"/>
    <w:rsid w:val="1D326A70"/>
    <w:rsid w:val="1EF47C7F"/>
    <w:rsid w:val="1F4E26E0"/>
    <w:rsid w:val="21463587"/>
    <w:rsid w:val="243F343F"/>
    <w:rsid w:val="24C83A72"/>
    <w:rsid w:val="2584633F"/>
    <w:rsid w:val="28356406"/>
    <w:rsid w:val="28975D5D"/>
    <w:rsid w:val="2AFE7BEA"/>
    <w:rsid w:val="2B25609B"/>
    <w:rsid w:val="2BC71311"/>
    <w:rsid w:val="2F1232C3"/>
    <w:rsid w:val="2F560859"/>
    <w:rsid w:val="2F56299D"/>
    <w:rsid w:val="31C902D1"/>
    <w:rsid w:val="345E7490"/>
    <w:rsid w:val="34707FB0"/>
    <w:rsid w:val="355E071A"/>
    <w:rsid w:val="36781544"/>
    <w:rsid w:val="371D10E5"/>
    <w:rsid w:val="38FD2077"/>
    <w:rsid w:val="393E5745"/>
    <w:rsid w:val="3B281EB3"/>
    <w:rsid w:val="3B291E3A"/>
    <w:rsid w:val="3BA453BA"/>
    <w:rsid w:val="3E620C74"/>
    <w:rsid w:val="3ED76D58"/>
    <w:rsid w:val="3FF019F1"/>
    <w:rsid w:val="400E44FB"/>
    <w:rsid w:val="41D16C02"/>
    <w:rsid w:val="450C3AC5"/>
    <w:rsid w:val="45333C19"/>
    <w:rsid w:val="45801017"/>
    <w:rsid w:val="49181DCF"/>
    <w:rsid w:val="492A6A34"/>
    <w:rsid w:val="49942410"/>
    <w:rsid w:val="4A02676F"/>
    <w:rsid w:val="4BCC7E94"/>
    <w:rsid w:val="4D5301FB"/>
    <w:rsid w:val="4D6B16DA"/>
    <w:rsid w:val="4FAE66AC"/>
    <w:rsid w:val="51D907C9"/>
    <w:rsid w:val="524F43BC"/>
    <w:rsid w:val="532A236B"/>
    <w:rsid w:val="56B07488"/>
    <w:rsid w:val="592605B1"/>
    <w:rsid w:val="59CF4E9D"/>
    <w:rsid w:val="5B51267D"/>
    <w:rsid w:val="5C760D5E"/>
    <w:rsid w:val="5FB4311A"/>
    <w:rsid w:val="608B5AEC"/>
    <w:rsid w:val="60C72177"/>
    <w:rsid w:val="61382CF4"/>
    <w:rsid w:val="614918DA"/>
    <w:rsid w:val="663C01D2"/>
    <w:rsid w:val="669B2BD8"/>
    <w:rsid w:val="66DD09B6"/>
    <w:rsid w:val="66EF5667"/>
    <w:rsid w:val="68EE3DB7"/>
    <w:rsid w:val="69895E31"/>
    <w:rsid w:val="69912B2A"/>
    <w:rsid w:val="6DA66DF4"/>
    <w:rsid w:val="6DB8406F"/>
    <w:rsid w:val="6F0E25FB"/>
    <w:rsid w:val="6F9D3BB3"/>
    <w:rsid w:val="6FB026B2"/>
    <w:rsid w:val="70900DB0"/>
    <w:rsid w:val="70E7254E"/>
    <w:rsid w:val="71917722"/>
    <w:rsid w:val="72117322"/>
    <w:rsid w:val="72544ACF"/>
    <w:rsid w:val="72B0307D"/>
    <w:rsid w:val="72F22421"/>
    <w:rsid w:val="739A1583"/>
    <w:rsid w:val="74484734"/>
    <w:rsid w:val="774B1F49"/>
    <w:rsid w:val="792539DA"/>
    <w:rsid w:val="79F53FD4"/>
    <w:rsid w:val="7A925C48"/>
    <w:rsid w:val="7C805C6D"/>
    <w:rsid w:val="7CE23E1A"/>
    <w:rsid w:val="7D5102A0"/>
    <w:rsid w:val="7EF9492B"/>
    <w:rsid w:val="7F130501"/>
    <w:rsid w:val="7FB82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214</Words>
  <Characters>1226</Characters>
  <Lines>10</Lines>
  <Paragraphs>2</Paragraphs>
  <TotalTime>39</TotalTime>
  <ScaleCrop>false</ScaleCrop>
  <LinksUpToDate>false</LinksUpToDate>
  <CharactersWithSpaces>1438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admin</cp:lastModifiedBy>
  <cp:lastPrinted>2021-01-14T07:20:00Z</cp:lastPrinted>
  <dcterms:modified xsi:type="dcterms:W3CDTF">2022-01-10T02:36:28Z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1543F54C49AF462CB6D99AC378104A64</vt:lpwstr>
  </property>
</Properties>
</file>